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3C" w:rsidRDefault="00D135A0" w:rsidP="004A3963">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6650E6" w:rsidRPr="002F31DC" w:rsidRDefault="00D135A0" w:rsidP="004A3963">
      <w:pPr>
        <w:pStyle w:val="Title"/>
        <w:rPr>
          <w:rFonts w:ascii="Sylfaen" w:hAnsi="Sylfaen"/>
          <w:bCs/>
          <w:sz w:val="28"/>
          <w:szCs w:val="28"/>
          <w:u w:val="none"/>
        </w:rPr>
      </w:pPr>
      <w:r w:rsidRPr="002F31DC">
        <w:rPr>
          <w:rFonts w:ascii="Sylfaen" w:hAnsi="Sylfaen"/>
          <w:sz w:val="24"/>
          <w:szCs w:val="24"/>
          <w:u w:val="none"/>
        </w:rPr>
        <w:t xml:space="preserve">Faculty of </w:t>
      </w:r>
      <w:r w:rsidR="00FD790B">
        <w:rPr>
          <w:rFonts w:ascii="Sylfaen" w:hAnsi="Sylfaen"/>
          <w:sz w:val="24"/>
          <w:szCs w:val="24"/>
          <w:u w:val="none"/>
        </w:rPr>
        <w:t>Engineering</w:t>
      </w:r>
    </w:p>
    <w:p w:rsidR="00F71126" w:rsidRPr="002F31DC" w:rsidRDefault="00F4524A" w:rsidP="004A3963">
      <w:pPr>
        <w:pStyle w:val="BodyText2"/>
        <w:spacing w:line="276" w:lineRule="auto"/>
        <w:ind w:right="234"/>
        <w:jc w:val="center"/>
        <w:rPr>
          <w:rFonts w:ascii="Sylfaen" w:hAnsi="Sylfaen"/>
          <w:b/>
          <w:sz w:val="24"/>
          <w:szCs w:val="24"/>
        </w:rPr>
      </w:pPr>
      <w:r w:rsidRPr="002F31DC">
        <w:rPr>
          <w:rFonts w:ascii="Sylfaen" w:hAnsi="Sylfaen"/>
          <w:b/>
          <w:sz w:val="24"/>
          <w:szCs w:val="24"/>
        </w:rPr>
        <w:t>Department</w:t>
      </w:r>
      <w:r w:rsidR="00757ACA" w:rsidRPr="002F31DC">
        <w:rPr>
          <w:rFonts w:ascii="Sylfaen" w:hAnsi="Sylfaen"/>
          <w:b/>
          <w:sz w:val="24"/>
          <w:szCs w:val="24"/>
        </w:rPr>
        <w:t xml:space="preserve"> of </w:t>
      </w:r>
      <w:r w:rsidR="000177B4" w:rsidRPr="000177B4">
        <w:rPr>
          <w:rFonts w:ascii="Sylfaen" w:hAnsi="Sylfaen"/>
          <w:b/>
          <w:bCs/>
          <w:sz w:val="24"/>
          <w:szCs w:val="24"/>
        </w:rPr>
        <w:t>Chemical &amp; Process Engineering</w:t>
      </w:r>
    </w:p>
    <w:p w:rsidR="00E03793" w:rsidRPr="00224267" w:rsidRDefault="00E03793" w:rsidP="00E03793">
      <w:pPr>
        <w:pStyle w:val="Title"/>
        <w:rPr>
          <w:rFonts w:ascii="Sylfaen" w:hAnsi="Sylfaen"/>
          <w:bCs/>
          <w:sz w:val="20"/>
        </w:rPr>
      </w:pPr>
      <w:r w:rsidRPr="00224267">
        <w:rPr>
          <w:rFonts w:ascii="Sylfaen" w:hAnsi="Sylfaen"/>
          <w:bCs/>
          <w:sz w:val="20"/>
        </w:rPr>
        <w:t>Post of Senior Lecturer Gr</w:t>
      </w:r>
      <w:r w:rsidR="00945401">
        <w:rPr>
          <w:rFonts w:ascii="Sylfaen" w:hAnsi="Sylfaen"/>
          <w:bCs/>
          <w:sz w:val="20"/>
        </w:rPr>
        <w:t>ade I/Senior Lecturer Grade II/</w:t>
      </w:r>
      <w:r w:rsidR="00682405">
        <w:rPr>
          <w:rFonts w:ascii="Sylfaen" w:hAnsi="Sylfaen"/>
          <w:bCs/>
          <w:sz w:val="20"/>
        </w:rPr>
        <w:t>Lecturer (Unconfirmed)</w:t>
      </w:r>
      <w:r w:rsidR="00945401">
        <w:rPr>
          <w:rFonts w:ascii="Sylfaen" w:hAnsi="Sylfaen"/>
          <w:bCs/>
          <w:sz w:val="20"/>
        </w:rPr>
        <w:t>/</w:t>
      </w:r>
      <w:r w:rsidR="00945401" w:rsidRPr="00224267">
        <w:rPr>
          <w:rFonts w:ascii="Sylfaen" w:hAnsi="Sylfaen"/>
          <w:bCs/>
          <w:sz w:val="20"/>
        </w:rPr>
        <w:t>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00FD03E9">
        <w:rPr>
          <w:rFonts w:ascii="Sylfaen" w:hAnsi="Sylfaen"/>
          <w:bCs/>
          <w:sz w:val="20"/>
        </w:rPr>
        <w:t xml:space="preserve"> </w:t>
      </w:r>
      <w:r w:rsidRPr="00224267">
        <w:rPr>
          <w:rFonts w:ascii="Sylfaen" w:hAnsi="Sylfaen"/>
          <w:sz w:val="20"/>
        </w:rPr>
        <w:t xml:space="preserve">Lecturer (Probationary) in the </w:t>
      </w:r>
      <w:r w:rsidR="00E7595F">
        <w:rPr>
          <w:rFonts w:ascii="Sylfaen" w:hAnsi="Sylfaen"/>
          <w:b/>
          <w:sz w:val="20"/>
        </w:rPr>
        <w:t xml:space="preserve">Department of </w:t>
      </w:r>
      <w:r w:rsidR="00FD03E9">
        <w:rPr>
          <w:rFonts w:ascii="Sylfaen" w:hAnsi="Sylfaen"/>
          <w:b/>
          <w:sz w:val="20"/>
        </w:rPr>
        <w:t>Chemical &amp; Process Engineering</w:t>
      </w:r>
      <w:r w:rsidR="00757ACA">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4A3963" w:rsidRDefault="004A3963" w:rsidP="004A3963">
      <w:pPr>
        <w:pStyle w:val="BodyText2"/>
        <w:spacing w:after="0" w:line="240" w:lineRule="auto"/>
        <w:ind w:right="144"/>
        <w:rPr>
          <w:rFonts w:ascii="Sylfaen" w:hAnsi="Sylfaen"/>
          <w:b/>
          <w:sz w:val="24"/>
          <w:szCs w:val="24"/>
          <w:u w:val="single"/>
        </w:rPr>
      </w:pPr>
      <w:r w:rsidRPr="00615256">
        <w:rPr>
          <w:rFonts w:ascii="Sylfaen" w:hAnsi="Sylfaen"/>
          <w:b/>
          <w:sz w:val="24"/>
          <w:szCs w:val="24"/>
          <w:u w:val="single"/>
        </w:rPr>
        <w:t xml:space="preserve">Faculty of </w:t>
      </w:r>
      <w:r w:rsidR="00FD790B">
        <w:rPr>
          <w:rFonts w:ascii="Sylfaen" w:hAnsi="Sylfaen"/>
          <w:b/>
          <w:sz w:val="24"/>
          <w:szCs w:val="24"/>
          <w:u w:val="single"/>
        </w:rPr>
        <w:t>Engineering</w:t>
      </w:r>
    </w:p>
    <w:p w:rsidR="004A3963" w:rsidRPr="006F3A7C" w:rsidRDefault="004A3963" w:rsidP="004A3963">
      <w:pPr>
        <w:pStyle w:val="BodyText2"/>
        <w:spacing w:after="0" w:line="240" w:lineRule="auto"/>
        <w:ind w:right="144"/>
        <w:rPr>
          <w:rFonts w:ascii="Sylfaen" w:hAnsi="Sylfaen"/>
          <w:b/>
          <w:bCs/>
          <w:sz w:val="24"/>
          <w:szCs w:val="24"/>
          <w:u w:val="single"/>
        </w:rPr>
      </w:pPr>
    </w:p>
    <w:p w:rsidR="004A3963" w:rsidRPr="00F177FA" w:rsidRDefault="004A3963" w:rsidP="004A3963">
      <w:pPr>
        <w:ind w:firstLine="360"/>
        <w:jc w:val="both"/>
        <w:rPr>
          <w:rFonts w:ascii="Sylfaen" w:hAnsi="Sylfaen"/>
          <w:b/>
          <w:bCs/>
          <w:sz w:val="22"/>
          <w:szCs w:val="22"/>
          <w:u w:val="single"/>
        </w:rPr>
      </w:pPr>
      <w:r w:rsidRPr="005A57A8">
        <w:rPr>
          <w:rFonts w:ascii="Sylfaen" w:hAnsi="Sylfaen"/>
          <w:b/>
          <w:bCs/>
          <w:sz w:val="22"/>
          <w:szCs w:val="22"/>
          <w:u w:val="single"/>
        </w:rPr>
        <w:t xml:space="preserve">Department </w:t>
      </w:r>
      <w:proofErr w:type="gramStart"/>
      <w:r w:rsidRPr="005A57A8">
        <w:rPr>
          <w:rFonts w:ascii="Sylfaen" w:hAnsi="Sylfaen"/>
          <w:b/>
          <w:bCs/>
          <w:sz w:val="22"/>
          <w:szCs w:val="22"/>
          <w:u w:val="single"/>
        </w:rPr>
        <w:t xml:space="preserve">of </w:t>
      </w:r>
      <w:r w:rsidR="00FD790B">
        <w:rPr>
          <w:rFonts w:ascii="Sylfaen" w:hAnsi="Sylfaen"/>
          <w:b/>
          <w:bCs/>
          <w:sz w:val="22"/>
          <w:szCs w:val="22"/>
          <w:u w:val="single"/>
        </w:rPr>
        <w:t xml:space="preserve"> </w:t>
      </w:r>
      <w:r w:rsidR="00FD03E9" w:rsidRPr="00FD03E9">
        <w:rPr>
          <w:rFonts w:ascii="Sylfaen" w:hAnsi="Sylfaen"/>
          <w:b/>
          <w:bCs/>
          <w:sz w:val="22"/>
          <w:szCs w:val="22"/>
          <w:u w:val="single"/>
        </w:rPr>
        <w:t>Chemical</w:t>
      </w:r>
      <w:proofErr w:type="gramEnd"/>
      <w:r w:rsidR="00FD03E9" w:rsidRPr="00FD03E9">
        <w:rPr>
          <w:rFonts w:ascii="Sylfaen" w:hAnsi="Sylfaen"/>
          <w:b/>
          <w:bCs/>
          <w:sz w:val="22"/>
          <w:szCs w:val="22"/>
          <w:u w:val="single"/>
        </w:rPr>
        <w:t xml:space="preserve"> &amp; Process Engineerin</w:t>
      </w:r>
      <w:r w:rsidR="00FD03E9">
        <w:rPr>
          <w:rFonts w:ascii="Sylfaen" w:hAnsi="Sylfaen"/>
          <w:b/>
          <w:bCs/>
          <w:sz w:val="22"/>
          <w:szCs w:val="22"/>
          <w:u w:val="single"/>
        </w:rPr>
        <w:t>g</w:t>
      </w:r>
    </w:p>
    <w:p w:rsidR="004A3963" w:rsidRPr="00AC4ECE" w:rsidRDefault="004A3963" w:rsidP="00476ABE">
      <w:pPr>
        <w:pStyle w:val="BodyText2"/>
        <w:spacing w:after="0" w:line="360" w:lineRule="auto"/>
        <w:ind w:right="144" w:firstLine="360"/>
        <w:rPr>
          <w:rFonts w:ascii="Sylfaen" w:hAnsi="Sylfaen"/>
        </w:rPr>
      </w:pPr>
      <w:r>
        <w:rPr>
          <w:rFonts w:ascii="Sylfaen" w:hAnsi="Sylfaen"/>
        </w:rPr>
        <w:t>Senior Lecturer Grade I/Senior Lecturer Grade II/</w:t>
      </w:r>
      <w:r w:rsidRPr="00BC6497">
        <w:rPr>
          <w:rFonts w:ascii="Sylfaen" w:hAnsi="Sylfaen"/>
        </w:rPr>
        <w:t xml:space="preserve"> </w:t>
      </w:r>
      <w:r>
        <w:rPr>
          <w:rFonts w:ascii="Sylfaen" w:hAnsi="Sylfaen"/>
        </w:rPr>
        <w:t>Lecturer (Unconfirmed) /Lecturer (Probationary)</w:t>
      </w:r>
    </w:p>
    <w:p w:rsidR="004A3963" w:rsidRPr="004A3963" w:rsidRDefault="00BF7FC0" w:rsidP="000177B4">
      <w:pPr>
        <w:tabs>
          <w:tab w:val="left" w:pos="972"/>
        </w:tabs>
        <w:ind w:left="-18" w:firstLine="702"/>
        <w:jc w:val="both"/>
        <w:rPr>
          <w:rFonts w:ascii="Sylfaen" w:hAnsi="Sylfaen"/>
          <w:b/>
          <w:bCs/>
          <w:sz w:val="12"/>
          <w:szCs w:val="12"/>
          <w:u w:val="single"/>
        </w:rPr>
      </w:pPr>
      <w:r w:rsidRPr="0077082B">
        <w:rPr>
          <w:rFonts w:ascii="Sylfaen" w:hAnsi="Sylfaen"/>
          <w:b/>
          <w:bCs/>
        </w:rPr>
        <w:t xml:space="preserve">  </w:t>
      </w:r>
      <w:r w:rsidR="004A3963" w:rsidRPr="000A369F">
        <w:rPr>
          <w:rFonts w:ascii="Sylfaen" w:hAnsi="Sylfaen"/>
          <w:b/>
          <w:bCs/>
          <w:u w:val="single"/>
        </w:rPr>
        <w:t xml:space="preserve">Areas of Expertise </w:t>
      </w:r>
    </w:p>
    <w:tbl>
      <w:tblPr>
        <w:tblW w:w="9106" w:type="dxa"/>
        <w:tblInd w:w="342" w:type="dxa"/>
        <w:tblLook w:val="0000" w:firstRow="0" w:lastRow="0" w:firstColumn="0" w:lastColumn="0" w:noHBand="0" w:noVBand="0"/>
      </w:tblPr>
      <w:tblGrid>
        <w:gridCol w:w="2353"/>
        <w:gridCol w:w="3807"/>
        <w:gridCol w:w="1597"/>
        <w:gridCol w:w="1349"/>
      </w:tblGrid>
      <w:tr w:rsidR="004A3963" w:rsidTr="00156F5A">
        <w:trPr>
          <w:trHeight w:val="344"/>
        </w:trPr>
        <w:tc>
          <w:tcPr>
            <w:tcW w:w="6160" w:type="dxa"/>
            <w:gridSpan w:val="2"/>
          </w:tcPr>
          <w:p w:rsidR="00FD03E9" w:rsidRPr="00156F5A" w:rsidRDefault="00FD03E9" w:rsidP="00156F5A">
            <w:pPr>
              <w:jc w:val="both"/>
              <w:rPr>
                <w:rFonts w:ascii="Sylfaen" w:hAnsi="Sylfaen"/>
                <w:highlight w:val="yellow"/>
              </w:rPr>
            </w:pPr>
          </w:p>
          <w:p w:rsidR="00156F5A" w:rsidRPr="00156F5A" w:rsidRDefault="00156F5A" w:rsidP="00156F5A">
            <w:pPr>
              <w:pStyle w:val="ListParagraph"/>
              <w:numPr>
                <w:ilvl w:val="0"/>
                <w:numId w:val="41"/>
              </w:numPr>
              <w:jc w:val="both"/>
              <w:rPr>
                <w:rFonts w:ascii="Sylfaen" w:hAnsi="Sylfaen"/>
              </w:rPr>
            </w:pPr>
            <w:r w:rsidRPr="00156F5A">
              <w:rPr>
                <w:rFonts w:ascii="Sylfaen" w:hAnsi="Sylfaen"/>
              </w:rPr>
              <w:t>Chemical &amp; Process Engineering</w:t>
            </w:r>
          </w:p>
          <w:p w:rsidR="00156F5A" w:rsidRPr="00156F5A" w:rsidRDefault="00156F5A" w:rsidP="00156F5A">
            <w:pPr>
              <w:pStyle w:val="ListParagraph"/>
              <w:numPr>
                <w:ilvl w:val="0"/>
                <w:numId w:val="41"/>
              </w:numPr>
              <w:jc w:val="both"/>
              <w:rPr>
                <w:rFonts w:ascii="Sylfaen" w:hAnsi="Sylfaen"/>
              </w:rPr>
            </w:pPr>
            <w:r w:rsidRPr="00156F5A">
              <w:rPr>
                <w:rFonts w:ascii="Sylfaen" w:hAnsi="Sylfaen"/>
              </w:rPr>
              <w:t>Petroleum Engineering</w:t>
            </w:r>
          </w:p>
          <w:p w:rsidR="00156F5A" w:rsidRPr="00156F5A" w:rsidRDefault="00156F5A" w:rsidP="00156F5A">
            <w:pPr>
              <w:pStyle w:val="ListParagraph"/>
              <w:numPr>
                <w:ilvl w:val="0"/>
                <w:numId w:val="41"/>
              </w:numPr>
              <w:jc w:val="both"/>
              <w:rPr>
                <w:rFonts w:ascii="Sylfaen" w:hAnsi="Sylfaen"/>
              </w:rPr>
            </w:pPr>
            <w:r w:rsidRPr="00156F5A">
              <w:rPr>
                <w:rFonts w:ascii="Sylfaen" w:hAnsi="Sylfaen"/>
              </w:rPr>
              <w:t>Polymer Engineering</w:t>
            </w:r>
          </w:p>
          <w:p w:rsidR="00156F5A" w:rsidRPr="00156F5A" w:rsidRDefault="00156F5A" w:rsidP="00156F5A">
            <w:pPr>
              <w:pStyle w:val="ListParagraph"/>
              <w:numPr>
                <w:ilvl w:val="0"/>
                <w:numId w:val="41"/>
              </w:numPr>
              <w:jc w:val="both"/>
              <w:rPr>
                <w:rFonts w:ascii="Sylfaen" w:hAnsi="Sylfaen"/>
              </w:rPr>
            </w:pPr>
            <w:r w:rsidRPr="00156F5A">
              <w:rPr>
                <w:rFonts w:ascii="Sylfaen" w:hAnsi="Sylfaen"/>
              </w:rPr>
              <w:t>Process Dynamics and Control</w:t>
            </w:r>
          </w:p>
          <w:p w:rsidR="00F95893" w:rsidRPr="000177B4" w:rsidRDefault="00156F5A" w:rsidP="00AC6740">
            <w:pPr>
              <w:pStyle w:val="ListParagraph"/>
              <w:numPr>
                <w:ilvl w:val="0"/>
                <w:numId w:val="41"/>
              </w:numPr>
              <w:jc w:val="both"/>
              <w:rPr>
                <w:rFonts w:ascii="Sylfaen" w:hAnsi="Sylfaen"/>
              </w:rPr>
            </w:pPr>
            <w:r w:rsidRPr="00156F5A">
              <w:rPr>
                <w:rFonts w:ascii="Sylfaen" w:hAnsi="Sylfaen"/>
              </w:rPr>
              <w:t xml:space="preserve">Chemical  Process </w:t>
            </w:r>
            <w:proofErr w:type="spellStart"/>
            <w:r w:rsidRPr="00156F5A">
              <w:rPr>
                <w:rFonts w:ascii="Sylfaen" w:hAnsi="Sylfaen"/>
              </w:rPr>
              <w:t>Modelling</w:t>
            </w:r>
            <w:proofErr w:type="spellEnd"/>
            <w:r w:rsidRPr="00156F5A">
              <w:rPr>
                <w:rFonts w:ascii="Sylfaen" w:hAnsi="Sylfaen"/>
              </w:rPr>
              <w:t xml:space="preserve"> and Simulation</w:t>
            </w:r>
          </w:p>
        </w:tc>
        <w:tc>
          <w:tcPr>
            <w:tcW w:w="2946" w:type="dxa"/>
            <w:gridSpan w:val="2"/>
          </w:tcPr>
          <w:p w:rsidR="004A3963" w:rsidRPr="00FD790B" w:rsidRDefault="004A3963" w:rsidP="00FD790B">
            <w:pPr>
              <w:jc w:val="both"/>
              <w:rPr>
                <w:rFonts w:ascii="Sylfaen" w:hAnsi="Sylfaen"/>
              </w:rPr>
            </w:pPr>
          </w:p>
        </w:tc>
      </w:tr>
      <w:tr w:rsidR="00BF7FC0" w:rsidTr="00156F5A">
        <w:trPr>
          <w:gridAfter w:val="1"/>
          <w:wAfter w:w="1349" w:type="dxa"/>
          <w:trHeight w:val="41"/>
        </w:trPr>
        <w:tc>
          <w:tcPr>
            <w:tcW w:w="2353" w:type="dxa"/>
          </w:tcPr>
          <w:p w:rsidR="007A0452" w:rsidRPr="00FD790B" w:rsidRDefault="007A0452" w:rsidP="00156F5A">
            <w:pPr>
              <w:jc w:val="both"/>
              <w:rPr>
                <w:rFonts w:ascii="Sylfaen" w:hAnsi="Sylfaen"/>
                <w:sz w:val="4"/>
              </w:rPr>
            </w:pPr>
          </w:p>
        </w:tc>
        <w:tc>
          <w:tcPr>
            <w:tcW w:w="5404" w:type="dxa"/>
            <w:gridSpan w:val="2"/>
          </w:tcPr>
          <w:p w:rsidR="00BF7FC0" w:rsidRPr="004A3963" w:rsidRDefault="00BF7FC0" w:rsidP="004A3963">
            <w:pPr>
              <w:jc w:val="both"/>
              <w:rPr>
                <w:rFonts w:ascii="Sylfaen" w:hAnsi="Sylfaen"/>
              </w:rPr>
            </w:pPr>
          </w:p>
        </w:tc>
      </w:tr>
    </w:tbl>
    <w:p w:rsidR="005446E7" w:rsidRPr="00F95893" w:rsidRDefault="00F95893" w:rsidP="00F95893">
      <w:pPr>
        <w:ind w:firstLine="360"/>
        <w:jc w:val="both"/>
        <w:rPr>
          <w:rFonts w:ascii="Sylfaen" w:hAnsi="Sylfaen"/>
          <w:b/>
          <w:bCs/>
          <w:sz w:val="22"/>
          <w:szCs w:val="22"/>
          <w:u w:val="single"/>
        </w:rPr>
      </w:pPr>
      <w:r>
        <w:rPr>
          <w:rFonts w:ascii="Sylfaen" w:hAnsi="Sylfaen"/>
          <w:b/>
          <w:u w:val="single"/>
        </w:rPr>
        <w:t xml:space="preserve"> </w:t>
      </w:r>
      <w:r w:rsidR="005446E7" w:rsidRPr="00224267">
        <w:rPr>
          <w:rFonts w:ascii="Sylfaen" w:hAnsi="Sylfaen"/>
          <w:b/>
          <w:u w:val="single"/>
        </w:rPr>
        <w:t>EDUCATIONAL QUALIFICATIONS</w:t>
      </w:r>
      <w:r w:rsidR="005446E7"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bookmarkStart w:id="0" w:name="_GoBack"/>
      <w:bookmarkEnd w:id="0"/>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p w:rsidR="00FD790B" w:rsidRPr="00224267" w:rsidRDefault="00FD790B" w:rsidP="00DE2A80">
            <w:pPr>
              <w:pStyle w:val="BodyTextIndent"/>
              <w:tabs>
                <w:tab w:val="left" w:pos="2160"/>
                <w:tab w:val="left" w:pos="3960"/>
              </w:tabs>
              <w:spacing w:line="360" w:lineRule="auto"/>
              <w:ind w:left="0"/>
              <w:jc w:val="center"/>
              <w:rPr>
                <w:rFonts w:ascii="Sylfaen" w:hAnsi="Sylfaen"/>
                <w:b/>
                <w:bCs/>
                <w:caps/>
                <w:sz w:val="20"/>
                <w:u w:val="single"/>
              </w:rPr>
            </w:pP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7052FA" w:rsidP="00DE2A80">
            <w:pPr>
              <w:pStyle w:val="BodyTextIndent"/>
              <w:spacing w:line="280" w:lineRule="exact"/>
              <w:ind w:left="-55" w:firstLine="1"/>
              <w:jc w:val="both"/>
              <w:rPr>
                <w:rFonts w:ascii="Sylfaen" w:hAnsi="Sylfaen"/>
                <w:sz w:val="20"/>
              </w:rPr>
            </w:pPr>
            <w:r>
              <w:rPr>
                <w:rFonts w:ascii="Sylfaen" w:hAnsi="Sylfaen"/>
                <w:sz w:val="20"/>
              </w:rPr>
              <w:t>A  D</w:t>
            </w:r>
            <w:r w:rsidR="005446E7" w:rsidRPr="00224267">
              <w:rPr>
                <w:rFonts w:ascii="Sylfaen" w:hAnsi="Sylfaen"/>
                <w:sz w:val="20"/>
              </w:rPr>
              <w:t xml:space="preserve">egree with specialization in the relevant subject with First or Second Class (Upper Division) </w:t>
            </w:r>
            <w:proofErr w:type="spellStart"/>
            <w:r w:rsidR="005446E7" w:rsidRPr="00224267">
              <w:rPr>
                <w:rFonts w:ascii="Sylfaen" w:hAnsi="Sylfaen"/>
                <w:sz w:val="20"/>
              </w:rPr>
              <w:t>Honours</w:t>
            </w:r>
            <w:proofErr w:type="spellEnd"/>
            <w:r w:rsidR="005446E7"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7E6692">
      <w:pPr>
        <w:pStyle w:val="BodyTextIndent"/>
        <w:numPr>
          <w:ilvl w:val="0"/>
          <w:numId w:val="46"/>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(i)</w:t>
      </w:r>
      <w:r>
        <w:rPr>
          <w:rFonts w:ascii="Sylfaen" w:hAnsi="Sylfaen"/>
          <w:sz w:val="20"/>
        </w:rPr>
        <w:tab/>
      </w:r>
      <w:r w:rsidR="00B720D4">
        <w:rPr>
          <w:rFonts w:ascii="Sylfaen" w:hAnsi="Sylfaen"/>
          <w:sz w:val="20"/>
        </w:rPr>
        <w:t xml:space="preserve"> Candidates shall </w:t>
      </w:r>
      <w:proofErr w:type="spellStart"/>
      <w:r w:rsidR="00B720D4">
        <w:rPr>
          <w:rFonts w:ascii="Sylfaen" w:hAnsi="Sylfaen"/>
          <w:sz w:val="20"/>
        </w:rPr>
        <w:t>posses</w:t>
      </w:r>
      <w:proofErr w:type="spellEnd"/>
      <w:r w:rsidR="00B720D4">
        <w:rPr>
          <w:rFonts w:ascii="Sylfaen" w:hAnsi="Sylfaen"/>
          <w:sz w:val="20"/>
        </w:rPr>
        <w:t xml:space="preserve">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proofErr w:type="gramStart"/>
      <w:r w:rsidR="00D5281C">
        <w:rPr>
          <w:rFonts w:ascii="Sylfaen" w:hAnsi="Sylfaen"/>
          <w:sz w:val="20"/>
        </w:rPr>
        <w:t>[ Non</w:t>
      </w:r>
      <w:proofErr w:type="gramEnd"/>
      <w:r w:rsidR="00D5281C">
        <w:rPr>
          <w:rFonts w:ascii="Sylfaen" w:hAnsi="Sylfaen"/>
          <w:sz w:val="20"/>
        </w:rPr>
        <w:t>-(Medical/Dental) ]</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B720D4">
        <w:rPr>
          <w:rFonts w:ascii="Sylfaen" w:hAnsi="Sylfaen"/>
          <w:sz w:val="20"/>
        </w:rPr>
        <w:t xml:space="preserve">of </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8D1221"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CA44E9" w:rsidRDefault="00CA44E9" w:rsidP="00144159">
      <w:pPr>
        <w:pStyle w:val="BodyTextIndent"/>
        <w:tabs>
          <w:tab w:val="clear" w:pos="900"/>
          <w:tab w:val="left" w:pos="2160"/>
          <w:tab w:val="left" w:pos="3960"/>
        </w:tabs>
        <w:spacing w:line="280" w:lineRule="exact"/>
        <w:ind w:left="0"/>
        <w:jc w:val="both"/>
        <w:rPr>
          <w:rFonts w:ascii="Sylfaen" w:hAnsi="Sylfaen"/>
          <w:b/>
          <w:bCs/>
          <w:caps/>
          <w:sz w:val="20"/>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84CD9" w:rsidP="006B4428">
      <w:pPr>
        <w:pStyle w:val="BodyTextIndent"/>
        <w:tabs>
          <w:tab w:val="clear" w:pos="540"/>
          <w:tab w:val="clear" w:pos="900"/>
          <w:tab w:val="clear" w:pos="1620"/>
          <w:tab w:val="left" w:pos="1890"/>
          <w:tab w:val="left" w:pos="3960"/>
        </w:tabs>
        <w:spacing w:line="280" w:lineRule="exact"/>
        <w:jc w:val="both"/>
        <w:rPr>
          <w:rFonts w:ascii="Sylfaen" w:hAnsi="Sylfaen"/>
          <w:sz w:val="20"/>
        </w:rPr>
      </w:pP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684CD9">
      <w:pPr>
        <w:pStyle w:val="BodyTextIndent"/>
        <w:numPr>
          <w:ilvl w:val="0"/>
          <w:numId w:val="48"/>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Pr="008D1221"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77082B" w:rsidRPr="007052FA" w:rsidRDefault="00DE6F59" w:rsidP="007052FA">
      <w:pPr>
        <w:pStyle w:val="BodyTextIndent"/>
        <w:numPr>
          <w:ilvl w:val="0"/>
          <w:numId w:val="48"/>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Recruitment for Senior Lecturer Grade II, by open advertisement, given in Post No. 6 of Commission Circular No 721 as amended, may be exempted from above (</w:t>
      </w:r>
      <w:r w:rsidR="00583CB4">
        <w:rPr>
          <w:rFonts w:ascii="Sylfaen" w:hAnsi="Sylfaen"/>
          <w:sz w:val="20"/>
        </w:rPr>
        <w:t>ii</w:t>
      </w:r>
      <w:r w:rsidR="00463F9E">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77082B" w:rsidRDefault="0077082B" w:rsidP="007052FA">
      <w:pPr>
        <w:pStyle w:val="BodyTextIndent"/>
        <w:tabs>
          <w:tab w:val="clear" w:pos="900"/>
          <w:tab w:val="left" w:pos="2160"/>
          <w:tab w:val="left" w:pos="3960"/>
        </w:tabs>
        <w:spacing w:line="280" w:lineRule="exact"/>
        <w:ind w:left="0"/>
        <w:jc w:val="both"/>
        <w:rPr>
          <w:rFonts w:ascii="Sylfaen" w:hAnsi="Sylfaen"/>
          <w:sz w:val="20"/>
          <w:u w:val="single"/>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proofErr w:type="gramStart"/>
      <w:r w:rsidRPr="001205D7">
        <w:rPr>
          <w:rFonts w:ascii="Sylfaen" w:hAnsi="Sylfaen"/>
          <w:sz w:val="20"/>
          <w:u w:val="single"/>
        </w:rPr>
        <w:t>Notes</w:t>
      </w:r>
      <w:r>
        <w:rPr>
          <w:rFonts w:ascii="Sylfaen" w:hAnsi="Sylfaen"/>
          <w:sz w:val="20"/>
          <w:u w:val="single"/>
        </w:rPr>
        <w:t xml:space="preserve"> :</w:t>
      </w:r>
      <w:proofErr w:type="gramEnd"/>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w:t>
      </w:r>
      <w:r w:rsidR="00DD12F4">
        <w:rPr>
          <w:rFonts w:ascii="Sylfaen" w:hAnsi="Sylfaen"/>
          <w:sz w:val="20"/>
        </w:rPr>
        <w:t xml:space="preserve"> </w:t>
      </w:r>
      <w:r w:rsidR="001205D7">
        <w:rPr>
          <w:rFonts w:ascii="Sylfaen" w:hAnsi="Sylfaen"/>
          <w:sz w:val="20"/>
        </w:rPr>
        <w:t>Non-(Medical/Dental)</w:t>
      </w:r>
      <w:r w:rsidR="00DD12F4">
        <w:rPr>
          <w:rFonts w:ascii="Sylfaen" w:hAnsi="Sylfaen"/>
          <w:sz w:val="20"/>
        </w:rPr>
        <w:t xml:space="preserve"> </w:t>
      </w:r>
      <w:r w:rsidR="001205D7">
        <w:rPr>
          <w:rFonts w:ascii="Sylfaen" w:hAnsi="Sylfaen"/>
          <w:sz w:val="20"/>
        </w:rPr>
        <w:t>]</w:t>
      </w:r>
      <w:r w:rsidR="005302AF">
        <w:rPr>
          <w:rFonts w:ascii="Sylfaen" w:hAnsi="Sylfaen"/>
          <w:sz w:val="20"/>
        </w:rPr>
        <w:t xml:space="preserve">, </w:t>
      </w:r>
      <w:r w:rsidR="001205D7">
        <w:rPr>
          <w:rFonts w:ascii="Sylfaen" w:hAnsi="Sylfaen"/>
          <w:sz w:val="20"/>
        </w:rPr>
        <w:t>who has completed the three year period of satisfactory service and the induction training course within a period of one year  from the date of appointment, may be confirmed in the post of Lecturer [ Non- [Medical/Dental) ],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 may be considered for promotion to Senior Lecturer Grade II [ Non-[Medical/Dental) ]</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CD087C" w:rsidRPr="00CD087C" w:rsidRDefault="00CD087C"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proofErr w:type="gramStart"/>
      <w:r>
        <w:rPr>
          <w:rFonts w:ascii="Sylfaen" w:hAnsi="Sylfaen"/>
          <w:sz w:val="20"/>
        </w:rPr>
        <w:t>[ Non</w:t>
      </w:r>
      <w:proofErr w:type="gramEnd"/>
      <w:r>
        <w:rPr>
          <w:rFonts w:ascii="Sylfaen" w:hAnsi="Sylfaen"/>
          <w:sz w:val="20"/>
        </w:rPr>
        <w:t>-(Medical/Dental) ]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77082B" w:rsidRDefault="0077082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lastRenderedPageBreak/>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7777EA">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77082B" w:rsidRPr="007052FA" w:rsidRDefault="005446E7" w:rsidP="007052FA">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77082B" w:rsidRPr="007052FA" w:rsidRDefault="0077082B" w:rsidP="007052FA">
      <w:pPr>
        <w:spacing w:line="280" w:lineRule="exact"/>
        <w:rPr>
          <w:rFonts w:ascii="Sylfaen" w:hAnsi="Sylfaen"/>
        </w:rPr>
      </w:pPr>
    </w:p>
    <w:p w:rsidR="0077082B" w:rsidRPr="00224267" w:rsidRDefault="0077082B"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roofErr w:type="spellStart"/>
      <w:r w:rsidRPr="00224267">
        <w:rPr>
          <w:rFonts w:ascii="Sylfaen" w:hAnsi="Sylfaen"/>
          <w:iCs/>
          <w:sz w:val="20"/>
        </w:rPr>
        <w:t>w.e.f</w:t>
      </w:r>
      <w:proofErr w:type="spellEnd"/>
      <w:r w:rsidRPr="00224267">
        <w:rPr>
          <w:rFonts w:ascii="Sylfaen" w:hAnsi="Sylfaen"/>
          <w:iCs/>
          <w:sz w:val="20"/>
        </w:rPr>
        <w:t>. 01.01.20</w:t>
      </w:r>
      <w:r w:rsidR="00190A8A">
        <w:rPr>
          <w:rFonts w:ascii="Sylfaen" w:hAnsi="Sylfaen"/>
          <w:iCs/>
          <w:sz w:val="20"/>
        </w:rPr>
        <w:t>20</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t>
      </w:r>
      <w:proofErr w:type="spellStart"/>
      <w:r w:rsidRPr="00224267">
        <w:rPr>
          <w:rFonts w:ascii="Sylfaen" w:hAnsi="Sylfaen"/>
          <w:iCs/>
          <w:sz w:val="20"/>
        </w:rPr>
        <w:t>w.e.f</w:t>
      </w:r>
      <w:proofErr w:type="spellEnd"/>
      <w:r w:rsidRPr="00224267">
        <w:rPr>
          <w:rFonts w:ascii="Sylfaen" w:hAnsi="Sylfaen"/>
          <w:iCs/>
          <w:sz w:val="20"/>
        </w:rPr>
        <w:t>. 01.01.20</w:t>
      </w:r>
      <w:r w:rsidR="008007BF">
        <w:rPr>
          <w:rFonts w:ascii="Sylfaen" w:hAnsi="Sylfaen"/>
          <w:iCs/>
          <w:sz w:val="20"/>
        </w:rPr>
        <w:t>20</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xml:space="preserve">-    </w:t>
      </w:r>
      <w:proofErr w:type="spellStart"/>
      <w:r w:rsidR="00583CB4">
        <w:rPr>
          <w:rFonts w:ascii="Sylfaen" w:hAnsi="Sylfaen"/>
          <w:iCs/>
          <w:sz w:val="20"/>
        </w:rPr>
        <w:t>Rs</w:t>
      </w:r>
      <w:proofErr w:type="spellEnd"/>
      <w:r w:rsidR="00583CB4">
        <w:rPr>
          <w:rFonts w:ascii="Sylfaen" w:hAnsi="Sylfaen"/>
          <w:iCs/>
          <w:sz w:val="20"/>
        </w:rPr>
        <w:t xml:space="preserve">. 69,580 – 5 X 1,630 – 77,730 p.m. [U-AC 3 (III) </w:t>
      </w:r>
      <w:proofErr w:type="spellStart"/>
      <w:r w:rsidR="00583CB4">
        <w:rPr>
          <w:rFonts w:ascii="Sylfaen" w:hAnsi="Sylfaen"/>
          <w:iCs/>
          <w:sz w:val="20"/>
        </w:rPr>
        <w:t>w.e.f</w:t>
      </w:r>
      <w:proofErr w:type="spellEnd"/>
      <w:r w:rsidR="00583CB4">
        <w:rPr>
          <w:rFonts w:ascii="Sylfaen" w:hAnsi="Sylfaen"/>
          <w:iCs/>
          <w:sz w:val="20"/>
        </w:rPr>
        <w:t>. 01.01.2020</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r>
      <w:proofErr w:type="spellStart"/>
      <w:r w:rsidR="00583CB4" w:rsidRPr="00224267">
        <w:rPr>
          <w:rFonts w:ascii="Sylfaen" w:hAnsi="Sylfaen"/>
          <w:iCs/>
          <w:sz w:val="20"/>
        </w:rPr>
        <w:t>Rs</w:t>
      </w:r>
      <w:proofErr w:type="spellEnd"/>
      <w:r w:rsidR="00583CB4" w:rsidRPr="00224267">
        <w:rPr>
          <w:rFonts w:ascii="Sylfaen" w:hAnsi="Sylfaen"/>
          <w:iCs/>
          <w:sz w:val="20"/>
        </w:rPr>
        <w:t>.</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p.m. [U-AC 3 (IV)] </w:t>
      </w:r>
      <w:proofErr w:type="spellStart"/>
      <w:r w:rsidR="00583CB4" w:rsidRPr="00224267">
        <w:rPr>
          <w:rFonts w:ascii="Sylfaen" w:hAnsi="Sylfaen"/>
          <w:iCs/>
          <w:sz w:val="20"/>
        </w:rPr>
        <w:t>w.e.f</w:t>
      </w:r>
      <w:proofErr w:type="spellEnd"/>
      <w:r w:rsidR="00583CB4" w:rsidRPr="00224267">
        <w:rPr>
          <w:rFonts w:ascii="Sylfaen" w:hAnsi="Sylfaen"/>
          <w:iCs/>
          <w:sz w:val="20"/>
        </w:rPr>
        <w:t>. 01.01.</w:t>
      </w:r>
      <w:r w:rsidR="00583CB4">
        <w:rPr>
          <w:rFonts w:ascii="Sylfaen" w:hAnsi="Sylfaen"/>
          <w:iCs/>
          <w:sz w:val="20"/>
        </w:rPr>
        <w:t>2020</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Default="00A76CEC" w:rsidP="00583CB4">
      <w:pPr>
        <w:pStyle w:val="BodyText"/>
        <w:tabs>
          <w:tab w:val="left" w:pos="540"/>
          <w:tab w:val="left" w:pos="3150"/>
          <w:tab w:val="left" w:pos="3420"/>
          <w:tab w:val="left" w:pos="5400"/>
        </w:tabs>
        <w:ind w:right="54"/>
        <w:rPr>
          <w:rFonts w:ascii="Sylfaen" w:hAnsi="Sylfaen"/>
          <w:bCs/>
          <w:sz w:val="20"/>
        </w:rPr>
      </w:pPr>
    </w:p>
    <w:p w:rsidR="00A76CEC" w:rsidRDefault="00A76CEC" w:rsidP="00A76CEC">
      <w:pPr>
        <w:pStyle w:val="BodyText"/>
        <w:tabs>
          <w:tab w:val="left" w:pos="540"/>
          <w:tab w:val="left" w:pos="3150"/>
          <w:tab w:val="left" w:pos="3420"/>
        </w:tabs>
        <w:ind w:left="540" w:right="54"/>
        <w:rPr>
          <w:rFonts w:ascii="Sylfaen" w:hAnsi="Sylfaen"/>
          <w:bCs/>
          <w:iCs/>
          <w:sz w:val="20"/>
        </w:rPr>
      </w:pPr>
    </w:p>
    <w:p w:rsidR="0077082B" w:rsidRDefault="0077082B" w:rsidP="0077082B">
      <w:pPr>
        <w:ind w:left="450" w:right="144" w:hanging="180"/>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77082B" w:rsidRPr="00A76CEC" w:rsidRDefault="0077082B" w:rsidP="00A76CEC">
      <w:pPr>
        <w:pStyle w:val="BodyText"/>
        <w:tabs>
          <w:tab w:val="left" w:pos="540"/>
          <w:tab w:val="left" w:pos="3150"/>
          <w:tab w:val="left" w:pos="3420"/>
        </w:tabs>
        <w:ind w:left="540" w:right="54"/>
        <w:rPr>
          <w:rFonts w:ascii="Sylfaen" w:hAnsi="Sylfaen"/>
          <w:bCs/>
          <w:iCs/>
          <w:sz w:val="20"/>
        </w:rPr>
      </w:pPr>
    </w:p>
    <w:p w:rsidR="00EE70B6" w:rsidRDefault="00EE70B6" w:rsidP="00EE70B6">
      <w:pPr>
        <w:ind w:left="270" w:right="234"/>
        <w:jc w:val="both"/>
        <w:rPr>
          <w:rFonts w:ascii="Sylfaen" w:hAnsi="Sylfaen"/>
        </w:rPr>
      </w:pPr>
      <w:r w:rsidRPr="00612F1E">
        <w:rPr>
          <w:rFonts w:ascii="Sylfaen" w:hAnsi="Sylfaen"/>
        </w:rPr>
        <w:t xml:space="preserve">In addition to the above salary, cost of living allowance and other approved allowances will be paid to the </w:t>
      </w:r>
      <w:r w:rsidR="006157C4">
        <w:rPr>
          <w:rFonts w:ascii="Sylfaen" w:hAnsi="Sylfaen"/>
        </w:rPr>
        <w:t xml:space="preserve">  </w:t>
      </w:r>
      <w:r w:rsidRPr="00612F1E">
        <w:rPr>
          <w:rFonts w:ascii="Sylfaen" w:hAnsi="Sylfaen"/>
        </w:rPr>
        <w:t>selected candidate/s.</w:t>
      </w: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iCs/>
          <w:sz w:val="20"/>
        </w:rPr>
      </w:pP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B4F74" w:rsidRDefault="00FB4F7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B4F74" w:rsidRDefault="00FB4F7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B4F74" w:rsidRDefault="00FB4F7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9A5987" w:rsidRDefault="009A598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B4F7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00DB2B2D" w:rsidRPr="00224267">
        <w:rPr>
          <w:rFonts w:ascii="Sylfaen" w:hAnsi="Sylfaen"/>
          <w:sz w:val="20"/>
        </w:rPr>
        <w:t xml:space="preserve"> Registrar/Establishments</w:t>
      </w:r>
      <w:r w:rsidR="007D11FF">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156F5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156F5A">
        <w:rPr>
          <w:rFonts w:ascii="Sylfaen" w:hAnsi="Sylfaen"/>
          <w:sz w:val="20"/>
        </w:rPr>
        <w:t>23</w:t>
      </w:r>
      <w:r w:rsidRPr="00156F5A">
        <w:rPr>
          <w:rFonts w:ascii="Sylfaen" w:hAnsi="Sylfaen"/>
          <w:sz w:val="20"/>
          <w:vertAlign w:val="superscript"/>
        </w:rPr>
        <w:t>rd</w:t>
      </w:r>
      <w:r w:rsidRPr="00156F5A">
        <w:rPr>
          <w:rFonts w:ascii="Sylfaen" w:hAnsi="Sylfaen"/>
          <w:sz w:val="20"/>
        </w:rPr>
        <w:t xml:space="preserve"> November</w:t>
      </w:r>
      <w:r w:rsidR="00301408" w:rsidRPr="00156F5A">
        <w:rPr>
          <w:rFonts w:ascii="Sylfaen" w:hAnsi="Sylfaen"/>
          <w:sz w:val="20"/>
        </w:rPr>
        <w:t xml:space="preserve">, </w:t>
      </w:r>
      <w:r w:rsidRPr="00156F5A">
        <w:rPr>
          <w:rFonts w:ascii="Sylfaen" w:hAnsi="Sylfaen"/>
          <w:sz w:val="20"/>
        </w:rPr>
        <w:t>20</w:t>
      </w:r>
      <w:r>
        <w:rPr>
          <w:rFonts w:ascii="Sylfaen" w:hAnsi="Sylfaen"/>
          <w:sz w:val="20"/>
        </w:rPr>
        <w:t>21</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F95893">
      <w:footerReference w:type="default" r:id="rId9"/>
      <w:pgSz w:w="11909" w:h="16834" w:code="9"/>
      <w:pgMar w:top="720" w:right="749" w:bottom="0" w:left="1166"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F5" w:rsidRDefault="00C77AF5">
      <w:r>
        <w:separator/>
      </w:r>
    </w:p>
  </w:endnote>
  <w:endnote w:type="continuationSeparator" w:id="0">
    <w:p w:rsidR="00C77AF5" w:rsidRDefault="00C7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0F4FED">
      <w:rPr>
        <w:rFonts w:ascii="Sylfaen" w:hAnsi="Sylfaen"/>
        <w:noProof/>
        <w:sz w:val="22"/>
        <w:szCs w:val="24"/>
      </w:rPr>
      <w:t>1</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0F4FED">
      <w:rPr>
        <w:rFonts w:ascii="Sylfaen" w:hAnsi="Sylfaen"/>
        <w:noProof/>
        <w:sz w:val="22"/>
        <w:szCs w:val="24"/>
      </w:rPr>
      <w:t>5</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F5" w:rsidRDefault="00C77AF5">
      <w:r>
        <w:separator/>
      </w:r>
    </w:p>
  </w:footnote>
  <w:footnote w:type="continuationSeparator" w:id="0">
    <w:p w:rsidR="00C77AF5" w:rsidRDefault="00C77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2">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4D2CCF"/>
    <w:multiLevelType w:val="hybridMultilevel"/>
    <w:tmpl w:val="034CDDEE"/>
    <w:lvl w:ilvl="0" w:tplc="0409000F">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1719620E"/>
    <w:multiLevelType w:val="hybridMultilevel"/>
    <w:tmpl w:val="F3746214"/>
    <w:lvl w:ilvl="0" w:tplc="8B2205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9">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3F503C"/>
    <w:multiLevelType w:val="hybridMultilevel"/>
    <w:tmpl w:val="995267D0"/>
    <w:lvl w:ilvl="0" w:tplc="18A26080">
      <w:start w:val="1"/>
      <w:numFmt w:val="lowerRoman"/>
      <w:lvlText w:val="(%1)"/>
      <w:lvlJc w:val="left"/>
      <w:pPr>
        <w:ind w:left="1953"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11">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12">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13">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8">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20">
    <w:nsid w:val="3F4871FA"/>
    <w:multiLevelType w:val="multilevel"/>
    <w:tmpl w:val="47005DD0"/>
    <w:numStyleLink w:val="Style1"/>
  </w:abstractNum>
  <w:abstractNum w:abstractNumId="21">
    <w:nsid w:val="401F39A0"/>
    <w:multiLevelType w:val="hybridMultilevel"/>
    <w:tmpl w:val="DA5E035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25">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3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31">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33">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6">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8">
    <w:nsid w:val="63433F63"/>
    <w:multiLevelType w:val="hybridMultilevel"/>
    <w:tmpl w:val="E242BF6C"/>
    <w:lvl w:ilvl="0" w:tplc="5AC00F0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4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4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4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4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32"/>
  </w:num>
  <w:num w:numId="2">
    <w:abstractNumId w:val="19"/>
  </w:num>
  <w:num w:numId="3">
    <w:abstractNumId w:val="43"/>
  </w:num>
  <w:num w:numId="4">
    <w:abstractNumId w:val="12"/>
  </w:num>
  <w:num w:numId="5">
    <w:abstractNumId w:val="26"/>
  </w:num>
  <w:num w:numId="6">
    <w:abstractNumId w:val="46"/>
  </w:num>
  <w:num w:numId="7">
    <w:abstractNumId w:val="42"/>
  </w:num>
  <w:num w:numId="8">
    <w:abstractNumId w:val="28"/>
  </w:num>
  <w:num w:numId="9">
    <w:abstractNumId w:val="29"/>
  </w:num>
  <w:num w:numId="10">
    <w:abstractNumId w:val="44"/>
  </w:num>
  <w:num w:numId="11">
    <w:abstractNumId w:val="24"/>
  </w:num>
  <w:num w:numId="12">
    <w:abstractNumId w:val="39"/>
  </w:num>
  <w:num w:numId="13">
    <w:abstractNumId w:val="48"/>
  </w:num>
  <w:num w:numId="14">
    <w:abstractNumId w:val="34"/>
  </w:num>
  <w:num w:numId="15">
    <w:abstractNumId w:val="9"/>
  </w:num>
  <w:num w:numId="16">
    <w:abstractNumId w:val="27"/>
  </w:num>
  <w:num w:numId="17">
    <w:abstractNumId w:val="1"/>
  </w:num>
  <w:num w:numId="18">
    <w:abstractNumId w:val="49"/>
  </w:num>
  <w:num w:numId="19">
    <w:abstractNumId w:val="36"/>
  </w:num>
  <w:num w:numId="20">
    <w:abstractNumId w:val="16"/>
  </w:num>
  <w:num w:numId="21">
    <w:abstractNumId w:val="22"/>
  </w:num>
  <w:num w:numId="22">
    <w:abstractNumId w:val="37"/>
  </w:num>
  <w:num w:numId="23">
    <w:abstractNumId w:val="13"/>
  </w:num>
  <w:num w:numId="24">
    <w:abstractNumId w:val="33"/>
  </w:num>
  <w:num w:numId="25">
    <w:abstractNumId w:val="25"/>
  </w:num>
  <w:num w:numId="26">
    <w:abstractNumId w:val="3"/>
  </w:num>
  <w:num w:numId="27">
    <w:abstractNumId w:val="45"/>
  </w:num>
  <w:num w:numId="28">
    <w:abstractNumId w:val="8"/>
  </w:num>
  <w:num w:numId="29">
    <w:abstractNumId w:val="20"/>
  </w:num>
  <w:num w:numId="30">
    <w:abstractNumId w:val="30"/>
  </w:num>
  <w:num w:numId="31">
    <w:abstractNumId w:val="41"/>
  </w:num>
  <w:num w:numId="32">
    <w:abstractNumId w:val="15"/>
  </w:num>
  <w:num w:numId="33">
    <w:abstractNumId w:val="40"/>
  </w:num>
  <w:num w:numId="34">
    <w:abstractNumId w:val="35"/>
  </w:num>
  <w:num w:numId="35">
    <w:abstractNumId w:val="17"/>
  </w:num>
  <w:num w:numId="36">
    <w:abstractNumId w:val="23"/>
  </w:num>
  <w:num w:numId="37">
    <w:abstractNumId w:val="18"/>
  </w:num>
  <w:num w:numId="38">
    <w:abstractNumId w:val="47"/>
  </w:num>
  <w:num w:numId="39">
    <w:abstractNumId w:val="31"/>
  </w:num>
  <w:num w:numId="40">
    <w:abstractNumId w:val="6"/>
  </w:num>
  <w:num w:numId="41">
    <w:abstractNumId w:val="14"/>
  </w:num>
  <w:num w:numId="42">
    <w:abstractNumId w:val="21"/>
  </w:num>
  <w:num w:numId="43">
    <w:abstractNumId w:val="11"/>
  </w:num>
  <w:num w:numId="44">
    <w:abstractNumId w:val="38"/>
  </w:num>
  <w:num w:numId="45">
    <w:abstractNumId w:val="4"/>
  </w:num>
  <w:num w:numId="46">
    <w:abstractNumId w:val="7"/>
  </w:num>
  <w:num w:numId="47">
    <w:abstractNumId w:val="10"/>
  </w:num>
  <w:num w:numId="48">
    <w:abstractNumId w:val="2"/>
  </w:num>
  <w:num w:numId="49">
    <w:abstractNumId w:val="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6"/>
    <w:rsid w:val="000177B4"/>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908E3"/>
    <w:rsid w:val="00090E27"/>
    <w:rsid w:val="00092291"/>
    <w:rsid w:val="00092A2C"/>
    <w:rsid w:val="00096634"/>
    <w:rsid w:val="00097A34"/>
    <w:rsid w:val="000A637E"/>
    <w:rsid w:val="000B4013"/>
    <w:rsid w:val="000B58B5"/>
    <w:rsid w:val="000C02CB"/>
    <w:rsid w:val="000D25B4"/>
    <w:rsid w:val="000E0C16"/>
    <w:rsid w:val="000E2311"/>
    <w:rsid w:val="000E308A"/>
    <w:rsid w:val="000F07C6"/>
    <w:rsid w:val="000F1B52"/>
    <w:rsid w:val="000F208D"/>
    <w:rsid w:val="000F4FED"/>
    <w:rsid w:val="00102CCB"/>
    <w:rsid w:val="00104F60"/>
    <w:rsid w:val="00105F65"/>
    <w:rsid w:val="00107906"/>
    <w:rsid w:val="001130D6"/>
    <w:rsid w:val="00117A3D"/>
    <w:rsid w:val="001205D7"/>
    <w:rsid w:val="00120AD6"/>
    <w:rsid w:val="00127B56"/>
    <w:rsid w:val="00130E36"/>
    <w:rsid w:val="0014329D"/>
    <w:rsid w:val="00144159"/>
    <w:rsid w:val="001442A7"/>
    <w:rsid w:val="00144EA8"/>
    <w:rsid w:val="00145B60"/>
    <w:rsid w:val="0015085E"/>
    <w:rsid w:val="0015332F"/>
    <w:rsid w:val="00156F5A"/>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82E"/>
    <w:rsid w:val="00205E7F"/>
    <w:rsid w:val="0020654F"/>
    <w:rsid w:val="00210645"/>
    <w:rsid w:val="00215292"/>
    <w:rsid w:val="00215A79"/>
    <w:rsid w:val="002219C6"/>
    <w:rsid w:val="00224267"/>
    <w:rsid w:val="002244B4"/>
    <w:rsid w:val="00236D22"/>
    <w:rsid w:val="002408D9"/>
    <w:rsid w:val="0024756E"/>
    <w:rsid w:val="00250B55"/>
    <w:rsid w:val="00253CB6"/>
    <w:rsid w:val="00256AD3"/>
    <w:rsid w:val="002619B6"/>
    <w:rsid w:val="002633E5"/>
    <w:rsid w:val="00266407"/>
    <w:rsid w:val="0026705F"/>
    <w:rsid w:val="002677DD"/>
    <w:rsid w:val="002706D4"/>
    <w:rsid w:val="002715C5"/>
    <w:rsid w:val="002756B5"/>
    <w:rsid w:val="0027617F"/>
    <w:rsid w:val="002769CC"/>
    <w:rsid w:val="00283E19"/>
    <w:rsid w:val="0028754D"/>
    <w:rsid w:val="00295D8A"/>
    <w:rsid w:val="002A08FB"/>
    <w:rsid w:val="002A2F57"/>
    <w:rsid w:val="002A417B"/>
    <w:rsid w:val="002A7B40"/>
    <w:rsid w:val="002B0813"/>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300DBE"/>
    <w:rsid w:val="00301408"/>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671A"/>
    <w:rsid w:val="0034730F"/>
    <w:rsid w:val="00347D02"/>
    <w:rsid w:val="003505F9"/>
    <w:rsid w:val="00350B93"/>
    <w:rsid w:val="003515FA"/>
    <w:rsid w:val="003531A0"/>
    <w:rsid w:val="003549AF"/>
    <w:rsid w:val="00357D66"/>
    <w:rsid w:val="00365905"/>
    <w:rsid w:val="00365F86"/>
    <w:rsid w:val="00366283"/>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7F8D"/>
    <w:rsid w:val="004343EA"/>
    <w:rsid w:val="00436E9E"/>
    <w:rsid w:val="00440E14"/>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50047F"/>
    <w:rsid w:val="00502C1C"/>
    <w:rsid w:val="00505059"/>
    <w:rsid w:val="00506BE5"/>
    <w:rsid w:val="005109A1"/>
    <w:rsid w:val="005232CB"/>
    <w:rsid w:val="00526DCA"/>
    <w:rsid w:val="005302AF"/>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05E2"/>
    <w:rsid w:val="00591443"/>
    <w:rsid w:val="00592A06"/>
    <w:rsid w:val="00592C9F"/>
    <w:rsid w:val="00595F2B"/>
    <w:rsid w:val="005A0187"/>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66BE"/>
    <w:rsid w:val="00651953"/>
    <w:rsid w:val="00652617"/>
    <w:rsid w:val="0065698C"/>
    <w:rsid w:val="00657866"/>
    <w:rsid w:val="00657893"/>
    <w:rsid w:val="006631EE"/>
    <w:rsid w:val="0066337B"/>
    <w:rsid w:val="006645E4"/>
    <w:rsid w:val="006650E6"/>
    <w:rsid w:val="00666B41"/>
    <w:rsid w:val="00672980"/>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55E6"/>
    <w:rsid w:val="007777EA"/>
    <w:rsid w:val="00781E2E"/>
    <w:rsid w:val="00786223"/>
    <w:rsid w:val="007A0452"/>
    <w:rsid w:val="007A0EB1"/>
    <w:rsid w:val="007A239B"/>
    <w:rsid w:val="007C0B66"/>
    <w:rsid w:val="007C1DBB"/>
    <w:rsid w:val="007C1E21"/>
    <w:rsid w:val="007C42F9"/>
    <w:rsid w:val="007C5CB9"/>
    <w:rsid w:val="007C6A7A"/>
    <w:rsid w:val="007D11F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40345"/>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D1221"/>
    <w:rsid w:val="008D3B1B"/>
    <w:rsid w:val="008D5837"/>
    <w:rsid w:val="008E20D2"/>
    <w:rsid w:val="008E58EE"/>
    <w:rsid w:val="008F65C7"/>
    <w:rsid w:val="00900006"/>
    <w:rsid w:val="00900EB1"/>
    <w:rsid w:val="00905E41"/>
    <w:rsid w:val="00913173"/>
    <w:rsid w:val="0091480C"/>
    <w:rsid w:val="00920107"/>
    <w:rsid w:val="0092443E"/>
    <w:rsid w:val="00927C2B"/>
    <w:rsid w:val="00931925"/>
    <w:rsid w:val="009328C7"/>
    <w:rsid w:val="00936F24"/>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5DF1"/>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026E9"/>
    <w:rsid w:val="00A10B95"/>
    <w:rsid w:val="00A13D9A"/>
    <w:rsid w:val="00A145E6"/>
    <w:rsid w:val="00A2310A"/>
    <w:rsid w:val="00A32356"/>
    <w:rsid w:val="00A33090"/>
    <w:rsid w:val="00A330FB"/>
    <w:rsid w:val="00A376D9"/>
    <w:rsid w:val="00A447EB"/>
    <w:rsid w:val="00A45652"/>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830"/>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77AF5"/>
    <w:rsid w:val="00C80E49"/>
    <w:rsid w:val="00C80F51"/>
    <w:rsid w:val="00C81403"/>
    <w:rsid w:val="00C92497"/>
    <w:rsid w:val="00C9596B"/>
    <w:rsid w:val="00C9658B"/>
    <w:rsid w:val="00CA096D"/>
    <w:rsid w:val="00CA2200"/>
    <w:rsid w:val="00CA44E9"/>
    <w:rsid w:val="00CA486F"/>
    <w:rsid w:val="00CA5982"/>
    <w:rsid w:val="00CA5B65"/>
    <w:rsid w:val="00CB3B87"/>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445D4"/>
    <w:rsid w:val="00D44EA0"/>
    <w:rsid w:val="00D5281C"/>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D428C"/>
    <w:rsid w:val="00DE3A65"/>
    <w:rsid w:val="00DE4701"/>
    <w:rsid w:val="00DE5D58"/>
    <w:rsid w:val="00DE6F59"/>
    <w:rsid w:val="00DF3D5D"/>
    <w:rsid w:val="00DF5E7A"/>
    <w:rsid w:val="00DF6246"/>
    <w:rsid w:val="00DF63C3"/>
    <w:rsid w:val="00E03793"/>
    <w:rsid w:val="00E03C0D"/>
    <w:rsid w:val="00E052D1"/>
    <w:rsid w:val="00E06DF8"/>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83D53"/>
    <w:rsid w:val="00E91A7A"/>
    <w:rsid w:val="00E91FBC"/>
    <w:rsid w:val="00EA0579"/>
    <w:rsid w:val="00EA08A5"/>
    <w:rsid w:val="00EA2CDF"/>
    <w:rsid w:val="00EA628F"/>
    <w:rsid w:val="00EA730B"/>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5893"/>
    <w:rsid w:val="00F9767E"/>
    <w:rsid w:val="00FA3A95"/>
    <w:rsid w:val="00FA3AF0"/>
    <w:rsid w:val="00FA5987"/>
    <w:rsid w:val="00FA6323"/>
    <w:rsid w:val="00FA7412"/>
    <w:rsid w:val="00FB07DF"/>
    <w:rsid w:val="00FB4872"/>
    <w:rsid w:val="00FB4F74"/>
    <w:rsid w:val="00FC0DCA"/>
    <w:rsid w:val="00FC0DCB"/>
    <w:rsid w:val="00FD03E9"/>
    <w:rsid w:val="00FD790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57F6-6C3E-403A-87B5-2CAE57DF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pri</cp:lastModifiedBy>
  <cp:revision>13</cp:revision>
  <cp:lastPrinted>2021-11-24T04:56:00Z</cp:lastPrinted>
  <dcterms:created xsi:type="dcterms:W3CDTF">2020-02-17T21:55:00Z</dcterms:created>
  <dcterms:modified xsi:type="dcterms:W3CDTF">2021-11-24T04:56:00Z</dcterms:modified>
</cp:coreProperties>
</file>