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C1561" w14:textId="1D9DEFDD" w:rsidR="007E17A8" w:rsidRPr="007E17A8" w:rsidRDefault="007E17A8" w:rsidP="002A0CE6">
      <w:pPr>
        <w:spacing w:after="120"/>
        <w:ind w:left="360"/>
        <w:jc w:val="center"/>
        <w:rPr>
          <w:rFonts w:ascii="Times New Roman" w:hAnsi="Times New Roman"/>
          <w:b/>
          <w:bCs/>
          <w:sz w:val="24"/>
          <w:szCs w:val="24"/>
          <w:u w:val="single"/>
        </w:rPr>
      </w:pPr>
      <w:r w:rsidRPr="007E17A8">
        <w:rPr>
          <w:rFonts w:ascii="Times New Roman" w:hAnsi="Times New Roman"/>
          <w:b/>
          <w:bCs/>
          <w:sz w:val="24"/>
          <w:szCs w:val="24"/>
          <w:u w:val="single"/>
        </w:rPr>
        <w:t>Eligibility and Performance Criteria</w:t>
      </w:r>
    </w:p>
    <w:p w14:paraId="576CF611" w14:textId="77777777" w:rsidR="002A0CE6" w:rsidRPr="007E17A8" w:rsidRDefault="007E17A8" w:rsidP="002A0CE6">
      <w:pPr>
        <w:spacing w:after="120"/>
        <w:ind w:left="360"/>
        <w:jc w:val="center"/>
        <w:rPr>
          <w:rFonts w:ascii="Times New Roman" w:hAnsi="Times New Roman"/>
          <w:b/>
          <w:bCs/>
          <w:u w:val="single"/>
        </w:rPr>
      </w:pPr>
      <w:r>
        <w:rPr>
          <w:rFonts w:ascii="Times New Roman" w:hAnsi="Times New Roman"/>
        </w:rPr>
        <w:t>(Formulated under clause 6.3 of By – Law No. 49/X/</w:t>
      </w:r>
      <w:r w:rsidR="00C95D8F">
        <w:rPr>
          <w:rFonts w:ascii="Times New Roman" w:hAnsi="Times New Roman"/>
        </w:rPr>
        <w:t>XX: 2010</w:t>
      </w:r>
      <w:r>
        <w:rPr>
          <w:rFonts w:ascii="Times New Roman" w:hAnsi="Times New Roman"/>
        </w:rPr>
        <w:t>)</w:t>
      </w:r>
      <w:r>
        <w:rPr>
          <w:rFonts w:ascii="Times New Roman" w:hAnsi="Times New Roman"/>
          <w:b/>
          <w:bCs/>
          <w:u w:val="single"/>
        </w:rPr>
        <w:t xml:space="preserve"> </w:t>
      </w:r>
    </w:p>
    <w:p w14:paraId="0A28BD20" w14:textId="77777777" w:rsidR="00B61EDC" w:rsidRPr="007E17A8" w:rsidRDefault="00B61EDC" w:rsidP="002A0CE6">
      <w:pPr>
        <w:spacing w:after="120"/>
        <w:ind w:left="360"/>
        <w:jc w:val="center"/>
        <w:rPr>
          <w:rFonts w:ascii="Times New Roman" w:hAnsi="Times New Roman"/>
          <w:b/>
          <w:bCs/>
          <w:u w:val="single"/>
        </w:rPr>
      </w:pPr>
    </w:p>
    <w:p w14:paraId="57EC2B06" w14:textId="55553582" w:rsidR="002A0CE6" w:rsidRPr="007E17A8" w:rsidRDefault="002A0CE6" w:rsidP="002A0CE6">
      <w:pPr>
        <w:pStyle w:val="ListParagraph"/>
        <w:numPr>
          <w:ilvl w:val="0"/>
          <w:numId w:val="4"/>
        </w:numPr>
        <w:spacing w:after="120"/>
        <w:rPr>
          <w:rFonts w:ascii="Times New Roman" w:hAnsi="Times New Roman"/>
        </w:rPr>
      </w:pPr>
      <w:r w:rsidRPr="007E17A8">
        <w:rPr>
          <w:rFonts w:ascii="Times New Roman" w:hAnsi="Times New Roman"/>
        </w:rPr>
        <w:t>Title o</w:t>
      </w:r>
      <w:r w:rsidR="00E36386">
        <w:rPr>
          <w:rFonts w:ascii="Times New Roman" w:hAnsi="Times New Roman"/>
        </w:rPr>
        <w:t>f the</w:t>
      </w:r>
      <w:r w:rsidRPr="007E17A8">
        <w:rPr>
          <w:rFonts w:ascii="Times New Roman" w:hAnsi="Times New Roman"/>
        </w:rPr>
        <w:t xml:space="preserve"> Degree</w:t>
      </w:r>
      <w:r w:rsidRPr="007E17A8">
        <w:rPr>
          <w:rFonts w:ascii="Times New Roman" w:hAnsi="Times New Roman"/>
        </w:rPr>
        <w:tab/>
      </w:r>
      <w:r w:rsidRPr="007E17A8">
        <w:rPr>
          <w:rFonts w:ascii="Times New Roman" w:hAnsi="Times New Roman"/>
        </w:rPr>
        <w:tab/>
        <w:t>:</w:t>
      </w:r>
      <w:r w:rsidR="00C95D8F">
        <w:rPr>
          <w:rFonts w:ascii="Times New Roman" w:hAnsi="Times New Roman"/>
        </w:rPr>
        <w:t xml:space="preserve"> </w:t>
      </w:r>
      <w:r w:rsidRPr="007E17A8">
        <w:rPr>
          <w:rFonts w:ascii="Times New Roman" w:hAnsi="Times New Roman"/>
          <w:b/>
          <w:bCs/>
          <w:i/>
          <w:iCs/>
        </w:rPr>
        <w:t>Master of Spatial Planning Management &amp; Design</w:t>
      </w:r>
      <w:r w:rsidRPr="007E17A8">
        <w:rPr>
          <w:rFonts w:ascii="Times New Roman" w:hAnsi="Times New Roman"/>
        </w:rPr>
        <w:t xml:space="preserve"> </w:t>
      </w:r>
    </w:p>
    <w:p w14:paraId="1A3B5A13" w14:textId="77777777" w:rsidR="002A0CE6" w:rsidRPr="007E17A8" w:rsidRDefault="002A0CE6" w:rsidP="002A0CE6">
      <w:pPr>
        <w:spacing w:after="120"/>
        <w:ind w:left="720"/>
        <w:jc w:val="both"/>
        <w:rPr>
          <w:rFonts w:ascii="Times New Roman" w:hAnsi="Times New Roman"/>
          <w:i/>
          <w:iCs/>
        </w:rPr>
      </w:pPr>
      <w:r w:rsidRPr="007E17A8">
        <w:rPr>
          <w:rFonts w:ascii="Times New Roman" w:hAnsi="Times New Roman"/>
        </w:rPr>
        <w:t>1.1</w:t>
      </w:r>
      <w:r w:rsidRPr="007E17A8">
        <w:rPr>
          <w:rFonts w:ascii="Times New Roman" w:hAnsi="Times New Roman"/>
        </w:rPr>
        <w:tab/>
        <w:t>Title of Award</w:t>
      </w:r>
      <w:r w:rsidRPr="007E17A8">
        <w:rPr>
          <w:rFonts w:ascii="Times New Roman" w:hAnsi="Times New Roman"/>
        </w:rPr>
        <w:tab/>
      </w:r>
      <w:r w:rsidRPr="007E17A8">
        <w:rPr>
          <w:rFonts w:ascii="Times New Roman" w:hAnsi="Times New Roman"/>
        </w:rPr>
        <w:tab/>
        <w:t>:</w:t>
      </w:r>
      <w:r w:rsidRPr="007E17A8">
        <w:rPr>
          <w:rFonts w:ascii="Times New Roman" w:hAnsi="Times New Roman"/>
          <w:i/>
          <w:iCs/>
        </w:rPr>
        <w:t xml:space="preserve"> </w:t>
      </w:r>
      <w:r w:rsidRPr="007E17A8">
        <w:rPr>
          <w:rFonts w:ascii="Times New Roman" w:hAnsi="Times New Roman"/>
          <w:b/>
          <w:bCs/>
          <w:i/>
          <w:iCs/>
        </w:rPr>
        <w:t>Master of Spatial Planning Management &amp; Design</w:t>
      </w:r>
    </w:p>
    <w:p w14:paraId="71FB5D05" w14:textId="77777777" w:rsidR="002A0CE6" w:rsidRPr="007E17A8" w:rsidRDefault="002A0CE6" w:rsidP="002A0CE6">
      <w:pPr>
        <w:spacing w:after="120"/>
        <w:ind w:left="720"/>
        <w:jc w:val="both"/>
        <w:rPr>
          <w:rFonts w:ascii="Times New Roman" w:hAnsi="Times New Roman"/>
        </w:rPr>
      </w:pPr>
      <w:r w:rsidRPr="007E17A8">
        <w:rPr>
          <w:rFonts w:ascii="Times New Roman" w:hAnsi="Times New Roman"/>
        </w:rPr>
        <w:t>1.2</w:t>
      </w:r>
      <w:r w:rsidRPr="007E17A8">
        <w:rPr>
          <w:rFonts w:ascii="Times New Roman" w:hAnsi="Times New Roman"/>
        </w:rPr>
        <w:tab/>
        <w:t xml:space="preserve">Programme </w:t>
      </w:r>
      <w:r w:rsidRPr="007E17A8">
        <w:rPr>
          <w:rFonts w:ascii="Times New Roman" w:hAnsi="Times New Roman"/>
        </w:rPr>
        <w:tab/>
      </w:r>
      <w:r w:rsidRPr="007E17A8">
        <w:rPr>
          <w:rFonts w:ascii="Times New Roman" w:hAnsi="Times New Roman"/>
        </w:rPr>
        <w:tab/>
        <w:t>:</w:t>
      </w:r>
      <w:r w:rsidR="00C95D8F">
        <w:rPr>
          <w:rFonts w:ascii="Times New Roman" w:hAnsi="Times New Roman"/>
        </w:rPr>
        <w:t xml:space="preserve"> </w:t>
      </w:r>
      <w:r w:rsidRPr="007E17A8">
        <w:rPr>
          <w:rFonts w:ascii="Times New Roman" w:hAnsi="Times New Roman"/>
          <w:b/>
          <w:bCs/>
          <w:i/>
          <w:iCs/>
        </w:rPr>
        <w:t>A</w:t>
      </w:r>
    </w:p>
    <w:p w14:paraId="532C8C04" w14:textId="77777777" w:rsidR="002A0CE6" w:rsidRPr="007E17A8" w:rsidRDefault="002A0CE6" w:rsidP="002A0CE6">
      <w:pPr>
        <w:spacing w:after="120"/>
        <w:ind w:left="720"/>
        <w:jc w:val="both"/>
        <w:rPr>
          <w:rFonts w:ascii="Times New Roman" w:hAnsi="Times New Roman"/>
          <w:i/>
          <w:iCs/>
        </w:rPr>
      </w:pPr>
      <w:r w:rsidRPr="007E17A8">
        <w:rPr>
          <w:rFonts w:ascii="Times New Roman" w:hAnsi="Times New Roman"/>
        </w:rPr>
        <w:t>1.3</w:t>
      </w:r>
      <w:r w:rsidRPr="007E17A8">
        <w:rPr>
          <w:rFonts w:ascii="Times New Roman" w:hAnsi="Times New Roman"/>
        </w:rPr>
        <w:tab/>
        <w:t>Programme Mode</w:t>
      </w:r>
      <w:r w:rsidRPr="007E17A8">
        <w:rPr>
          <w:rFonts w:ascii="Times New Roman" w:hAnsi="Times New Roman"/>
        </w:rPr>
        <w:tab/>
        <w:t>:</w:t>
      </w:r>
      <w:r w:rsidR="00C95D8F">
        <w:rPr>
          <w:rFonts w:ascii="Times New Roman" w:hAnsi="Times New Roman"/>
        </w:rPr>
        <w:t xml:space="preserve"> </w:t>
      </w:r>
      <w:r w:rsidRPr="007E17A8">
        <w:rPr>
          <w:rFonts w:ascii="Times New Roman" w:hAnsi="Times New Roman"/>
          <w:b/>
          <w:bCs/>
          <w:i/>
          <w:iCs/>
        </w:rPr>
        <w:t>Full-time</w:t>
      </w:r>
    </w:p>
    <w:p w14:paraId="6F045163" w14:textId="77777777" w:rsidR="002A0CE6" w:rsidRPr="007E17A8" w:rsidRDefault="002A0CE6" w:rsidP="002A0CE6">
      <w:pPr>
        <w:spacing w:after="120"/>
        <w:ind w:left="720"/>
        <w:jc w:val="both"/>
        <w:rPr>
          <w:rFonts w:ascii="Times New Roman" w:hAnsi="Times New Roman"/>
        </w:rPr>
      </w:pPr>
      <w:bookmarkStart w:id="0" w:name="_GoBack"/>
      <w:bookmarkEnd w:id="0"/>
    </w:p>
    <w:p w14:paraId="13B33E4D" w14:textId="1EAC6C2F" w:rsidR="002A0CE6" w:rsidRPr="007E17A8" w:rsidRDefault="002A0CE6" w:rsidP="002A0CE6">
      <w:pPr>
        <w:pStyle w:val="ListParagraph"/>
        <w:numPr>
          <w:ilvl w:val="0"/>
          <w:numId w:val="4"/>
        </w:numPr>
        <w:spacing w:after="120"/>
        <w:jc w:val="both"/>
        <w:rPr>
          <w:rFonts w:ascii="Times New Roman" w:hAnsi="Times New Roman"/>
        </w:rPr>
      </w:pPr>
      <w:r w:rsidRPr="007E17A8">
        <w:rPr>
          <w:rFonts w:ascii="Times New Roman" w:hAnsi="Times New Roman"/>
        </w:rPr>
        <w:t xml:space="preserve">Minimum eligibility requirements, constrained as per clause 2.1 of the </w:t>
      </w:r>
      <w:r w:rsidR="003D6C00" w:rsidRPr="007E17A8">
        <w:rPr>
          <w:rFonts w:ascii="Times New Roman" w:hAnsi="Times New Roman"/>
        </w:rPr>
        <w:t>By-law</w:t>
      </w:r>
      <w:r w:rsidRPr="007E17A8">
        <w:rPr>
          <w:rFonts w:ascii="Times New Roman" w:hAnsi="Times New Roman"/>
        </w:rPr>
        <w:t xml:space="preserve"> No. 49/X/</w:t>
      </w:r>
      <w:r w:rsidR="003D6C00" w:rsidRPr="007E17A8">
        <w:rPr>
          <w:rFonts w:ascii="Times New Roman" w:hAnsi="Times New Roman"/>
        </w:rPr>
        <w:t>XX:</w:t>
      </w:r>
      <w:r w:rsidRPr="007E17A8">
        <w:rPr>
          <w:rFonts w:ascii="Times New Roman" w:hAnsi="Times New Roman"/>
        </w:rPr>
        <w:t xml:space="preserve"> 2010, and to be generally used in advertising the course.</w:t>
      </w:r>
    </w:p>
    <w:p w14:paraId="5E69C2D9" w14:textId="77777777" w:rsidR="002A0CE6" w:rsidRPr="007E17A8" w:rsidRDefault="002A0CE6" w:rsidP="002A0CE6">
      <w:pPr>
        <w:spacing w:after="120"/>
        <w:ind w:left="720"/>
        <w:jc w:val="both"/>
        <w:rPr>
          <w:rFonts w:ascii="Times New Roman" w:hAnsi="Times New Roman"/>
        </w:rPr>
      </w:pPr>
      <w:r w:rsidRPr="007E17A8">
        <w:rPr>
          <w:rFonts w:ascii="Times New Roman" w:hAnsi="Times New Roman"/>
        </w:rPr>
        <w:t>The selection of students to the Masters programme will be made by the Department of Town &amp; Country Planning, in accordance with the following extended eligibility requirements, approved by the Senate.</w:t>
      </w:r>
    </w:p>
    <w:p w14:paraId="3056633A" w14:textId="1B405520" w:rsidR="002A0CE6" w:rsidRPr="007E17A8" w:rsidRDefault="00B61EDC" w:rsidP="00AA3A38">
      <w:pPr>
        <w:spacing w:after="0"/>
        <w:ind w:left="1440" w:hanging="720"/>
        <w:jc w:val="both"/>
        <w:rPr>
          <w:rFonts w:ascii="Times New Roman" w:hAnsi="Times New Roman"/>
        </w:rPr>
      </w:pPr>
      <w:r w:rsidRPr="007E17A8">
        <w:rPr>
          <w:rFonts w:ascii="Times New Roman" w:hAnsi="Times New Roman"/>
        </w:rPr>
        <w:t>2.1</w:t>
      </w:r>
      <w:r w:rsidRPr="007E17A8">
        <w:rPr>
          <w:rFonts w:ascii="Times New Roman" w:hAnsi="Times New Roman"/>
        </w:rPr>
        <w:tab/>
      </w:r>
      <w:r w:rsidR="002A0CE6" w:rsidRPr="007E17A8">
        <w:rPr>
          <w:rFonts w:ascii="Times New Roman" w:hAnsi="Times New Roman"/>
        </w:rPr>
        <w:t>The Honors Degree of Bachelor of Science in Town &amp; Country Planning of the University of Moratuwa</w:t>
      </w:r>
    </w:p>
    <w:p w14:paraId="7D2969A1" w14:textId="77777777" w:rsidR="002A0CE6" w:rsidRPr="007E17A8" w:rsidRDefault="002A0CE6" w:rsidP="00BC2A79">
      <w:pPr>
        <w:spacing w:after="0"/>
        <w:ind w:left="1440" w:hanging="720"/>
        <w:jc w:val="center"/>
        <w:rPr>
          <w:rFonts w:ascii="Times New Roman" w:hAnsi="Times New Roman"/>
        </w:rPr>
      </w:pPr>
      <w:r w:rsidRPr="007E17A8">
        <w:rPr>
          <w:rFonts w:ascii="Times New Roman" w:hAnsi="Times New Roman"/>
        </w:rPr>
        <w:t>Or</w:t>
      </w:r>
    </w:p>
    <w:p w14:paraId="38C64338" w14:textId="596F8CC5" w:rsidR="009D04E2" w:rsidRPr="007E17A8" w:rsidRDefault="00B61EDC" w:rsidP="00BB53ED">
      <w:pPr>
        <w:spacing w:after="0" w:line="240" w:lineRule="auto"/>
        <w:ind w:left="1440" w:hanging="720"/>
        <w:jc w:val="both"/>
        <w:rPr>
          <w:rFonts w:ascii="Times New Roman" w:hAnsi="Times New Roman"/>
        </w:rPr>
      </w:pPr>
      <w:r w:rsidRPr="007E17A8">
        <w:rPr>
          <w:rFonts w:ascii="Times New Roman" w:hAnsi="Times New Roman"/>
        </w:rPr>
        <w:t>2.2</w:t>
      </w:r>
      <w:r w:rsidR="009D04E2" w:rsidRPr="007E17A8">
        <w:rPr>
          <w:rFonts w:ascii="Times New Roman" w:hAnsi="Times New Roman"/>
        </w:rPr>
        <w:tab/>
      </w:r>
      <w:r w:rsidR="00BC2A79" w:rsidRPr="00BC2A79">
        <w:rPr>
          <w:rFonts w:ascii="Times New Roman" w:hAnsi="Times New Roman"/>
        </w:rPr>
        <w:t xml:space="preserve">Any Bachelor’s Degree of at least five years duration in Architecture from a recognized University as judged by the </w:t>
      </w:r>
      <w:r w:rsidR="000C2BF1">
        <w:rPr>
          <w:rFonts w:ascii="Times New Roman" w:hAnsi="Times New Roman"/>
        </w:rPr>
        <w:t>F</w:t>
      </w:r>
      <w:r w:rsidR="00BC2A79" w:rsidRPr="00BC2A79">
        <w:rPr>
          <w:rFonts w:ascii="Times New Roman" w:hAnsi="Times New Roman"/>
        </w:rPr>
        <w:t xml:space="preserve">aculty and approved by the </w:t>
      </w:r>
      <w:r w:rsidR="000C2BF1">
        <w:rPr>
          <w:rFonts w:ascii="Times New Roman" w:hAnsi="Times New Roman"/>
        </w:rPr>
        <w:t>S</w:t>
      </w:r>
      <w:r w:rsidR="007F0BE4">
        <w:rPr>
          <w:rFonts w:ascii="Times New Roman" w:hAnsi="Times New Roman"/>
        </w:rPr>
        <w:t>enate</w:t>
      </w:r>
    </w:p>
    <w:p w14:paraId="05185D27" w14:textId="078AE031" w:rsidR="009D04E2" w:rsidRPr="007E17A8" w:rsidRDefault="00AA3A38" w:rsidP="00BC2A79">
      <w:pPr>
        <w:spacing w:after="0"/>
        <w:ind w:left="1440" w:hanging="720"/>
        <w:jc w:val="both"/>
        <w:rPr>
          <w:rFonts w:ascii="Times New Roman" w:hAnsi="Times New Roman"/>
        </w:rPr>
      </w:pPr>
      <w:r>
        <w:rPr>
          <w:rFonts w:ascii="Times New Roman" w:hAnsi="Times New Roman"/>
        </w:rPr>
        <w:t xml:space="preserve"> </w:t>
      </w:r>
      <w:r w:rsidR="009D04E2" w:rsidRPr="007E17A8">
        <w:rPr>
          <w:rFonts w:ascii="Times New Roman" w:hAnsi="Times New Roman"/>
        </w:rPr>
        <w:tab/>
      </w:r>
      <w:r w:rsidR="009D04E2" w:rsidRPr="007E17A8">
        <w:rPr>
          <w:rFonts w:ascii="Times New Roman" w:hAnsi="Times New Roman"/>
        </w:rPr>
        <w:tab/>
      </w:r>
      <w:r w:rsidR="009D04E2" w:rsidRPr="007E17A8">
        <w:rPr>
          <w:rFonts w:ascii="Times New Roman" w:hAnsi="Times New Roman"/>
        </w:rPr>
        <w:tab/>
        <w:t xml:space="preserve">          </w:t>
      </w:r>
      <w:r w:rsidR="003D6C00">
        <w:rPr>
          <w:rFonts w:ascii="Times New Roman" w:hAnsi="Times New Roman"/>
        </w:rPr>
        <w:tab/>
      </w:r>
      <w:r w:rsidR="003D6C00">
        <w:rPr>
          <w:rFonts w:ascii="Times New Roman" w:hAnsi="Times New Roman"/>
        </w:rPr>
        <w:tab/>
        <w:t xml:space="preserve">      </w:t>
      </w:r>
      <w:r>
        <w:rPr>
          <w:rFonts w:ascii="Times New Roman" w:hAnsi="Times New Roman"/>
        </w:rPr>
        <w:t xml:space="preserve"> </w:t>
      </w:r>
      <w:r w:rsidR="003D6C00">
        <w:rPr>
          <w:rFonts w:ascii="Times New Roman" w:hAnsi="Times New Roman"/>
        </w:rPr>
        <w:t xml:space="preserve"> </w:t>
      </w:r>
      <w:r w:rsidR="009D04E2" w:rsidRPr="007E17A8">
        <w:rPr>
          <w:rFonts w:ascii="Times New Roman" w:hAnsi="Times New Roman"/>
        </w:rPr>
        <w:t>Or</w:t>
      </w:r>
    </w:p>
    <w:p w14:paraId="12BA486F" w14:textId="27784A8B" w:rsidR="002A0CE6" w:rsidRPr="007E17A8" w:rsidRDefault="009D04E2" w:rsidP="00BB53ED">
      <w:pPr>
        <w:spacing w:after="0" w:line="240" w:lineRule="auto"/>
        <w:ind w:left="1440" w:hanging="720"/>
        <w:jc w:val="both"/>
        <w:rPr>
          <w:rFonts w:ascii="Times New Roman" w:hAnsi="Times New Roman"/>
        </w:rPr>
      </w:pPr>
      <w:r w:rsidRPr="007E17A8">
        <w:rPr>
          <w:rFonts w:ascii="Times New Roman" w:hAnsi="Times New Roman"/>
        </w:rPr>
        <w:t>2.3</w:t>
      </w:r>
      <w:r w:rsidRPr="007E17A8">
        <w:rPr>
          <w:rFonts w:ascii="Times New Roman" w:hAnsi="Times New Roman"/>
        </w:rPr>
        <w:tab/>
      </w:r>
      <w:r w:rsidR="00BC2A79" w:rsidRPr="007534E7">
        <w:rPr>
          <w:rFonts w:ascii="Times New Roman" w:hAnsi="Times New Roman"/>
        </w:rPr>
        <w:t xml:space="preserve">Any Bachelors Degree of at least four years duration in Civil Engineering, Landscape Architecture, Transport &amp; Logistics Management, Quantity Surveying, Facilities Management, Agriculture, Economics, Estate Management &amp; Valuation, Geography, Law, Sociology, Planning from a recognized university </w:t>
      </w:r>
      <w:r w:rsidR="00BC2A79">
        <w:rPr>
          <w:rFonts w:ascii="Times New Roman" w:hAnsi="Times New Roman"/>
        </w:rPr>
        <w:t xml:space="preserve">as judged by the </w:t>
      </w:r>
      <w:r w:rsidR="000C2BF1">
        <w:rPr>
          <w:rFonts w:ascii="Times New Roman" w:hAnsi="Times New Roman"/>
        </w:rPr>
        <w:t>F</w:t>
      </w:r>
      <w:r w:rsidR="00BC2A79">
        <w:rPr>
          <w:rFonts w:ascii="Times New Roman" w:hAnsi="Times New Roman"/>
        </w:rPr>
        <w:t xml:space="preserve">aculty and approved by the </w:t>
      </w:r>
      <w:r w:rsidR="000C2BF1">
        <w:rPr>
          <w:rFonts w:ascii="Times New Roman" w:hAnsi="Times New Roman"/>
        </w:rPr>
        <w:t>S</w:t>
      </w:r>
      <w:r w:rsidR="00BC2A79">
        <w:rPr>
          <w:rFonts w:ascii="Times New Roman" w:hAnsi="Times New Roman"/>
        </w:rPr>
        <w:t>enate</w:t>
      </w:r>
    </w:p>
    <w:p w14:paraId="2C59B9C6" w14:textId="77777777" w:rsidR="002A0CE6" w:rsidRPr="007E17A8" w:rsidRDefault="002A0CE6" w:rsidP="00BB53ED">
      <w:pPr>
        <w:spacing w:after="0" w:line="240" w:lineRule="auto"/>
        <w:ind w:left="1440" w:hanging="720"/>
        <w:jc w:val="center"/>
        <w:rPr>
          <w:rFonts w:ascii="Times New Roman" w:hAnsi="Times New Roman"/>
        </w:rPr>
      </w:pPr>
      <w:r w:rsidRPr="007E17A8">
        <w:rPr>
          <w:rFonts w:ascii="Times New Roman" w:hAnsi="Times New Roman"/>
        </w:rPr>
        <w:t>Or</w:t>
      </w:r>
    </w:p>
    <w:p w14:paraId="36A18975" w14:textId="77777777" w:rsidR="00BC2A79" w:rsidRPr="00BC2A79" w:rsidRDefault="002A0CE6" w:rsidP="00BC2A79">
      <w:pPr>
        <w:spacing w:after="0" w:line="240" w:lineRule="auto"/>
        <w:ind w:left="1440" w:hanging="720"/>
        <w:jc w:val="both"/>
        <w:rPr>
          <w:rFonts w:ascii="Times New Roman" w:hAnsi="Times New Roman"/>
        </w:rPr>
      </w:pPr>
      <w:r w:rsidRPr="007E17A8">
        <w:rPr>
          <w:rFonts w:ascii="Times New Roman" w:hAnsi="Times New Roman"/>
        </w:rPr>
        <w:t>2.</w:t>
      </w:r>
      <w:r w:rsidR="009D04E2" w:rsidRPr="007E17A8">
        <w:rPr>
          <w:rFonts w:ascii="Times New Roman" w:hAnsi="Times New Roman"/>
        </w:rPr>
        <w:t>4</w:t>
      </w:r>
      <w:r w:rsidR="00BB53ED">
        <w:rPr>
          <w:rFonts w:ascii="Times New Roman" w:hAnsi="Times New Roman"/>
        </w:rPr>
        <w:tab/>
      </w:r>
      <w:r w:rsidR="00BC2A79" w:rsidRPr="00BC2A79">
        <w:rPr>
          <w:rFonts w:ascii="Times New Roman" w:hAnsi="Times New Roman"/>
        </w:rPr>
        <w:t xml:space="preserve">Bachelor of Built Environment Degree from the University of Moratuwa </w:t>
      </w:r>
    </w:p>
    <w:p w14:paraId="6E232B03" w14:textId="77777777" w:rsidR="00BC2A79" w:rsidRPr="00BC2A79" w:rsidRDefault="00BC2A79" w:rsidP="00BC2A79">
      <w:pPr>
        <w:spacing w:after="0" w:line="240" w:lineRule="auto"/>
        <w:ind w:left="1440"/>
        <w:jc w:val="both"/>
        <w:rPr>
          <w:rFonts w:ascii="Times New Roman" w:hAnsi="Times New Roman"/>
        </w:rPr>
      </w:pPr>
      <w:r w:rsidRPr="00BC2A79">
        <w:rPr>
          <w:rFonts w:ascii="Times New Roman" w:hAnsi="Times New Roman"/>
        </w:rPr>
        <w:t>and</w:t>
      </w:r>
    </w:p>
    <w:p w14:paraId="7EEFE9D6" w14:textId="1CB1DF35" w:rsidR="00BC2A79" w:rsidRDefault="00BC2A79" w:rsidP="00BC2A79">
      <w:pPr>
        <w:spacing w:after="0" w:line="240" w:lineRule="auto"/>
        <w:ind w:left="1440"/>
        <w:jc w:val="both"/>
        <w:rPr>
          <w:rFonts w:ascii="Times New Roman" w:hAnsi="Times New Roman"/>
        </w:rPr>
      </w:pPr>
      <w:r w:rsidRPr="00BC2A79">
        <w:rPr>
          <w:rFonts w:ascii="Times New Roman" w:hAnsi="Times New Roman"/>
        </w:rPr>
        <w:t xml:space="preserve">Minimum of </w:t>
      </w:r>
      <w:r w:rsidR="007F0BE4">
        <w:rPr>
          <w:rFonts w:ascii="Times New Roman" w:hAnsi="Times New Roman"/>
        </w:rPr>
        <w:t>one</w:t>
      </w:r>
      <w:r w:rsidRPr="00BC2A79">
        <w:rPr>
          <w:rFonts w:ascii="Times New Roman" w:hAnsi="Times New Roman"/>
        </w:rPr>
        <w:t xml:space="preserve"> year post-qualifying experience in area of planning and urban development as judged by the </w:t>
      </w:r>
      <w:r w:rsidR="000C2BF1">
        <w:rPr>
          <w:rFonts w:ascii="Times New Roman" w:hAnsi="Times New Roman"/>
        </w:rPr>
        <w:t>F</w:t>
      </w:r>
      <w:r w:rsidRPr="00BC2A79">
        <w:rPr>
          <w:rFonts w:ascii="Times New Roman" w:hAnsi="Times New Roman"/>
        </w:rPr>
        <w:t xml:space="preserve">aculty and approved by the </w:t>
      </w:r>
      <w:r w:rsidR="000C2BF1">
        <w:rPr>
          <w:rFonts w:ascii="Times New Roman" w:hAnsi="Times New Roman"/>
        </w:rPr>
        <w:t>S</w:t>
      </w:r>
      <w:r w:rsidR="007F0BE4">
        <w:rPr>
          <w:rFonts w:ascii="Times New Roman" w:hAnsi="Times New Roman"/>
        </w:rPr>
        <w:t>enate</w:t>
      </w:r>
    </w:p>
    <w:p w14:paraId="0CDFD542" w14:textId="608A1562" w:rsidR="00841BFC" w:rsidRPr="007E17A8" w:rsidRDefault="00BC2A79" w:rsidP="00BC2A79">
      <w:pPr>
        <w:spacing w:after="0" w:line="240" w:lineRule="auto"/>
        <w:ind w:left="4320"/>
        <w:rPr>
          <w:rFonts w:ascii="Times New Roman" w:hAnsi="Times New Roman"/>
        </w:rPr>
      </w:pPr>
      <w:r>
        <w:rPr>
          <w:rFonts w:ascii="Times New Roman" w:hAnsi="Times New Roman"/>
        </w:rPr>
        <w:t xml:space="preserve">        </w:t>
      </w:r>
      <w:r w:rsidR="002A0CE6" w:rsidRPr="007E17A8">
        <w:rPr>
          <w:rFonts w:ascii="Times New Roman" w:hAnsi="Times New Roman"/>
        </w:rPr>
        <w:t>Or</w:t>
      </w:r>
    </w:p>
    <w:p w14:paraId="19E3379C" w14:textId="0F7D6769" w:rsidR="00BC2A79" w:rsidRPr="00BC2A79" w:rsidRDefault="00BC2A79" w:rsidP="00BC2A79">
      <w:pPr>
        <w:spacing w:after="0" w:line="240" w:lineRule="auto"/>
        <w:ind w:left="1440" w:hanging="720"/>
        <w:rPr>
          <w:rFonts w:ascii="Times New Roman" w:hAnsi="Times New Roman"/>
        </w:rPr>
      </w:pPr>
      <w:r>
        <w:rPr>
          <w:rFonts w:ascii="Times New Roman" w:hAnsi="Times New Roman"/>
        </w:rPr>
        <w:t xml:space="preserve">2.5.       </w:t>
      </w:r>
      <w:r w:rsidRPr="00BC2A79">
        <w:rPr>
          <w:rFonts w:ascii="Times New Roman" w:hAnsi="Times New Roman"/>
        </w:rPr>
        <w:t xml:space="preserve">Any other Degree of at least three years duration in a relevant field from a recognized university as judged by the </w:t>
      </w:r>
      <w:r w:rsidR="000C2BF1">
        <w:rPr>
          <w:rFonts w:ascii="Times New Roman" w:hAnsi="Times New Roman"/>
        </w:rPr>
        <w:t>F</w:t>
      </w:r>
      <w:r w:rsidRPr="00BC2A79">
        <w:rPr>
          <w:rFonts w:ascii="Times New Roman" w:hAnsi="Times New Roman"/>
        </w:rPr>
        <w:t xml:space="preserve">aculty and approved by the </w:t>
      </w:r>
      <w:r w:rsidR="000C2BF1">
        <w:rPr>
          <w:rFonts w:ascii="Times New Roman" w:hAnsi="Times New Roman"/>
        </w:rPr>
        <w:t>S</w:t>
      </w:r>
      <w:r w:rsidRPr="00BC2A79">
        <w:rPr>
          <w:rFonts w:ascii="Times New Roman" w:hAnsi="Times New Roman"/>
        </w:rPr>
        <w:t>enate</w:t>
      </w:r>
    </w:p>
    <w:p w14:paraId="3CD92AA6" w14:textId="77777777" w:rsidR="00BC2A79" w:rsidRPr="00BC2A79" w:rsidRDefault="00BC2A79" w:rsidP="00BC2A79">
      <w:pPr>
        <w:spacing w:after="0" w:line="240" w:lineRule="auto"/>
        <w:ind w:left="1440"/>
        <w:rPr>
          <w:rFonts w:ascii="Times New Roman" w:hAnsi="Times New Roman"/>
        </w:rPr>
      </w:pPr>
      <w:r w:rsidRPr="00BC2A79">
        <w:rPr>
          <w:rFonts w:ascii="Times New Roman" w:hAnsi="Times New Roman"/>
        </w:rPr>
        <w:t>and</w:t>
      </w:r>
    </w:p>
    <w:p w14:paraId="000FD128" w14:textId="6671C8D6" w:rsidR="00BC2A79" w:rsidRDefault="00BC2A79" w:rsidP="00BC2A79">
      <w:pPr>
        <w:spacing w:after="0" w:line="240" w:lineRule="auto"/>
        <w:ind w:left="1440"/>
        <w:rPr>
          <w:rFonts w:ascii="Times New Roman" w:hAnsi="Times New Roman"/>
        </w:rPr>
      </w:pPr>
      <w:r w:rsidRPr="00BC2A79">
        <w:rPr>
          <w:rFonts w:ascii="Times New Roman" w:hAnsi="Times New Roman"/>
        </w:rPr>
        <w:t xml:space="preserve">Minimum of </w:t>
      </w:r>
      <w:r w:rsidR="007F0BE4">
        <w:rPr>
          <w:rFonts w:ascii="Times New Roman" w:hAnsi="Times New Roman"/>
        </w:rPr>
        <w:t>one</w:t>
      </w:r>
      <w:r w:rsidRPr="00BC2A79">
        <w:rPr>
          <w:rFonts w:ascii="Times New Roman" w:hAnsi="Times New Roman"/>
        </w:rPr>
        <w:t xml:space="preserve"> year post-qualifying experience in area of planning and urban development as judged by the </w:t>
      </w:r>
      <w:r w:rsidR="000C2BF1">
        <w:rPr>
          <w:rFonts w:ascii="Times New Roman" w:hAnsi="Times New Roman"/>
        </w:rPr>
        <w:t>F</w:t>
      </w:r>
      <w:r w:rsidRPr="00BC2A79">
        <w:rPr>
          <w:rFonts w:ascii="Times New Roman" w:hAnsi="Times New Roman"/>
        </w:rPr>
        <w:t xml:space="preserve">aculty and approved by the </w:t>
      </w:r>
      <w:r w:rsidR="000C2BF1">
        <w:rPr>
          <w:rFonts w:ascii="Times New Roman" w:hAnsi="Times New Roman"/>
        </w:rPr>
        <w:t>S</w:t>
      </w:r>
      <w:r w:rsidR="007F0BE4">
        <w:rPr>
          <w:rFonts w:ascii="Times New Roman" w:hAnsi="Times New Roman"/>
        </w:rPr>
        <w:t>enate</w:t>
      </w:r>
    </w:p>
    <w:p w14:paraId="6C1C3DBA" w14:textId="0B91F4E3" w:rsidR="00C95D8F" w:rsidRPr="007E17A8" w:rsidRDefault="00BC2A79" w:rsidP="00BC2A79">
      <w:pPr>
        <w:spacing w:after="0" w:line="240" w:lineRule="auto"/>
        <w:ind w:left="4320"/>
        <w:rPr>
          <w:rFonts w:ascii="Times New Roman" w:hAnsi="Times New Roman"/>
        </w:rPr>
      </w:pPr>
      <w:r>
        <w:rPr>
          <w:rFonts w:ascii="Times New Roman" w:hAnsi="Times New Roman"/>
        </w:rPr>
        <w:t xml:space="preserve">         </w:t>
      </w:r>
      <w:r w:rsidR="002A0CE6" w:rsidRPr="007E17A8">
        <w:rPr>
          <w:rFonts w:ascii="Times New Roman" w:hAnsi="Times New Roman"/>
        </w:rPr>
        <w:t>Or</w:t>
      </w:r>
    </w:p>
    <w:p w14:paraId="0A6C975E" w14:textId="030D0CD7" w:rsidR="00BC2A79" w:rsidRPr="00BC2A79" w:rsidRDefault="00BC2A79" w:rsidP="00BC2A79">
      <w:pPr>
        <w:ind w:left="1440" w:hanging="720"/>
        <w:jc w:val="both"/>
        <w:rPr>
          <w:rFonts w:ascii="Times New Roman" w:hAnsi="Times New Roman"/>
        </w:rPr>
      </w:pPr>
      <w:r>
        <w:rPr>
          <w:rFonts w:ascii="Times New Roman" w:hAnsi="Times New Roman"/>
        </w:rPr>
        <w:t xml:space="preserve">2.6. </w:t>
      </w:r>
      <w:r>
        <w:rPr>
          <w:rFonts w:ascii="Times New Roman" w:hAnsi="Times New Roman"/>
        </w:rPr>
        <w:tab/>
      </w:r>
      <w:r w:rsidRPr="00BC2A79">
        <w:rPr>
          <w:rFonts w:ascii="Times New Roman" w:hAnsi="Times New Roman"/>
        </w:rPr>
        <w:t xml:space="preserve">A recognized category of membership of a recognized Professional Institute in a relevant field obtained through an academic route, as judged by the </w:t>
      </w:r>
      <w:r w:rsidR="000C2BF1">
        <w:rPr>
          <w:rFonts w:ascii="Times New Roman" w:hAnsi="Times New Roman"/>
        </w:rPr>
        <w:t>F</w:t>
      </w:r>
      <w:r w:rsidRPr="00BC2A79">
        <w:rPr>
          <w:rFonts w:ascii="Times New Roman" w:hAnsi="Times New Roman"/>
        </w:rPr>
        <w:t xml:space="preserve">aculty and approved by the </w:t>
      </w:r>
      <w:r w:rsidR="000C2BF1">
        <w:rPr>
          <w:rFonts w:ascii="Times New Roman" w:hAnsi="Times New Roman"/>
        </w:rPr>
        <w:t>S</w:t>
      </w:r>
      <w:r w:rsidRPr="00BC2A79">
        <w:rPr>
          <w:rFonts w:ascii="Times New Roman" w:hAnsi="Times New Roman"/>
        </w:rPr>
        <w:t xml:space="preserve">enate </w:t>
      </w:r>
    </w:p>
    <w:p w14:paraId="02F797BE" w14:textId="77777777" w:rsidR="00BC2A79" w:rsidRPr="00BC2A79" w:rsidRDefault="00BC2A79" w:rsidP="00BC2A79">
      <w:pPr>
        <w:ind w:left="720" w:firstLine="720"/>
        <w:jc w:val="both"/>
        <w:rPr>
          <w:rFonts w:ascii="Times New Roman" w:hAnsi="Times New Roman"/>
        </w:rPr>
      </w:pPr>
      <w:r w:rsidRPr="00BC2A79">
        <w:rPr>
          <w:rFonts w:ascii="Times New Roman" w:hAnsi="Times New Roman"/>
        </w:rPr>
        <w:t>and</w:t>
      </w:r>
    </w:p>
    <w:p w14:paraId="6DAD53AB" w14:textId="031DF40B" w:rsidR="00AA3A38" w:rsidRDefault="00BC2A79" w:rsidP="00BC2A79">
      <w:pPr>
        <w:ind w:left="1440"/>
        <w:jc w:val="both"/>
        <w:rPr>
          <w:rFonts w:ascii="Times New Roman" w:hAnsi="Times New Roman"/>
        </w:rPr>
      </w:pPr>
      <w:r w:rsidRPr="00BC2A79">
        <w:rPr>
          <w:rFonts w:ascii="Times New Roman" w:hAnsi="Times New Roman"/>
        </w:rPr>
        <w:t xml:space="preserve">Minimum of one year post-qualifying experience in area of planning and urban development as judged by the </w:t>
      </w:r>
      <w:r w:rsidR="000C2BF1">
        <w:rPr>
          <w:rFonts w:ascii="Times New Roman" w:hAnsi="Times New Roman"/>
        </w:rPr>
        <w:t>F</w:t>
      </w:r>
      <w:r w:rsidRPr="00BC2A79">
        <w:rPr>
          <w:rFonts w:ascii="Times New Roman" w:hAnsi="Times New Roman"/>
        </w:rPr>
        <w:t xml:space="preserve">aculty and approved by the </w:t>
      </w:r>
      <w:r w:rsidR="000C2BF1">
        <w:rPr>
          <w:rFonts w:ascii="Times New Roman" w:hAnsi="Times New Roman"/>
        </w:rPr>
        <w:t>S</w:t>
      </w:r>
      <w:r w:rsidRPr="00BC2A79">
        <w:rPr>
          <w:rFonts w:ascii="Times New Roman" w:hAnsi="Times New Roman"/>
        </w:rPr>
        <w:t>enate.</w:t>
      </w:r>
    </w:p>
    <w:p w14:paraId="4000135E" w14:textId="5DF3CBBF" w:rsidR="00AA3A38" w:rsidRDefault="00AA3A38" w:rsidP="00AA3A38">
      <w:pPr>
        <w:jc w:val="both"/>
        <w:rPr>
          <w:rFonts w:ascii="Times New Roman" w:hAnsi="Times New Roman"/>
        </w:rPr>
      </w:pPr>
    </w:p>
    <w:p w14:paraId="6CDC4CFA" w14:textId="20F78CA5" w:rsidR="00AA3A38" w:rsidRPr="00D4346F" w:rsidRDefault="00D4346F" w:rsidP="00D4346F">
      <w:pPr>
        <w:jc w:val="center"/>
        <w:rPr>
          <w:rFonts w:ascii="Arial" w:hAnsi="Arial" w:cs="Arial"/>
          <w:sz w:val="24"/>
          <w:szCs w:val="24"/>
        </w:rPr>
      </w:pPr>
      <w:r w:rsidRPr="00D4346F">
        <w:rPr>
          <w:rFonts w:ascii="Arial" w:hAnsi="Arial" w:cs="Arial"/>
          <w:sz w:val="24"/>
          <w:szCs w:val="24"/>
        </w:rPr>
        <w:t>436</w:t>
      </w:r>
    </w:p>
    <w:p w14:paraId="12781C3E" w14:textId="77777777" w:rsidR="00D634AD" w:rsidRPr="007E17A8" w:rsidRDefault="00D634AD" w:rsidP="00D634AD">
      <w:pPr>
        <w:pStyle w:val="ListParagraph"/>
        <w:numPr>
          <w:ilvl w:val="0"/>
          <w:numId w:val="11"/>
        </w:numPr>
        <w:spacing w:before="240" w:after="120"/>
        <w:jc w:val="both"/>
        <w:rPr>
          <w:rFonts w:ascii="Times New Roman" w:hAnsi="Times New Roman"/>
          <w:b/>
        </w:rPr>
      </w:pPr>
      <w:r w:rsidRPr="007E17A8">
        <w:rPr>
          <w:rFonts w:ascii="Times New Roman" w:hAnsi="Times New Roman"/>
          <w:b/>
        </w:rPr>
        <w:lastRenderedPageBreak/>
        <w:t xml:space="preserve">Participation in the Academic Programme: </w:t>
      </w:r>
    </w:p>
    <w:p w14:paraId="24E02DE6" w14:textId="77777777" w:rsidR="00D634AD" w:rsidRPr="007E17A8" w:rsidRDefault="00D634AD" w:rsidP="00D634AD">
      <w:pPr>
        <w:numPr>
          <w:ilvl w:val="1"/>
          <w:numId w:val="11"/>
        </w:numPr>
        <w:spacing w:after="120"/>
        <w:ind w:left="900" w:hanging="540"/>
        <w:jc w:val="both"/>
        <w:rPr>
          <w:rFonts w:ascii="Times New Roman" w:hAnsi="Times New Roman"/>
        </w:rPr>
      </w:pPr>
      <w:r w:rsidRPr="007E17A8">
        <w:rPr>
          <w:rFonts w:ascii="Times New Roman" w:hAnsi="Times New Roman"/>
        </w:rPr>
        <w:t xml:space="preserve"> 80% attendance is usually required in lectures, and project work as specified under clause 4.1.1(a) of the By-Law. </w:t>
      </w:r>
    </w:p>
    <w:p w14:paraId="474D8CF2" w14:textId="77777777" w:rsidR="00D634AD" w:rsidRPr="007E17A8" w:rsidRDefault="00D634AD" w:rsidP="00D634AD">
      <w:pPr>
        <w:numPr>
          <w:ilvl w:val="1"/>
          <w:numId w:val="11"/>
        </w:numPr>
        <w:spacing w:after="120"/>
        <w:ind w:left="900" w:hanging="540"/>
        <w:jc w:val="both"/>
        <w:rPr>
          <w:rFonts w:ascii="Times New Roman" w:hAnsi="Times New Roman"/>
        </w:rPr>
      </w:pPr>
      <w:r w:rsidRPr="007E17A8">
        <w:rPr>
          <w:rFonts w:ascii="Times New Roman" w:hAnsi="Times New Roman"/>
        </w:rPr>
        <w:t xml:space="preserve">Participation is compulsory in assignments, as specified under clause 4.1.1(b) of the By-Law. </w:t>
      </w:r>
    </w:p>
    <w:p w14:paraId="05250931" w14:textId="77777777" w:rsidR="00D634AD" w:rsidRPr="007E17A8" w:rsidRDefault="00D634AD" w:rsidP="00D634AD">
      <w:pPr>
        <w:numPr>
          <w:ilvl w:val="1"/>
          <w:numId w:val="11"/>
        </w:numPr>
        <w:tabs>
          <w:tab w:val="left" w:pos="900"/>
        </w:tabs>
        <w:spacing w:after="120"/>
        <w:ind w:left="900" w:hanging="540"/>
        <w:jc w:val="both"/>
        <w:rPr>
          <w:rFonts w:ascii="Times New Roman" w:hAnsi="Times New Roman"/>
        </w:rPr>
      </w:pPr>
      <w:r w:rsidRPr="007E17A8">
        <w:rPr>
          <w:rFonts w:ascii="Times New Roman" w:hAnsi="Times New Roman"/>
        </w:rPr>
        <w:t xml:space="preserve">Undertaking research in a specific area is compulsory, as specified in clause 4.1.1(c) of the By-Law. </w:t>
      </w:r>
    </w:p>
    <w:p w14:paraId="78DE5824" w14:textId="77777777" w:rsidR="00D634AD" w:rsidRPr="007E17A8" w:rsidRDefault="00D634AD" w:rsidP="00D634AD">
      <w:pPr>
        <w:numPr>
          <w:ilvl w:val="1"/>
          <w:numId w:val="11"/>
        </w:numPr>
        <w:tabs>
          <w:tab w:val="left" w:pos="900"/>
        </w:tabs>
        <w:spacing w:after="80"/>
        <w:ind w:left="907" w:hanging="547"/>
        <w:jc w:val="both"/>
        <w:rPr>
          <w:rFonts w:ascii="Times New Roman" w:hAnsi="Times New Roman"/>
        </w:rPr>
      </w:pPr>
      <w:r w:rsidRPr="007E17A8">
        <w:rPr>
          <w:rFonts w:ascii="Times New Roman" w:hAnsi="Times New Roman"/>
        </w:rPr>
        <w:t>The Masters degree programme is expected to be completed in two academic years, but permitted to complete in four academic years without the need of an extension as specified under section 5 of the By-Law.</w:t>
      </w:r>
    </w:p>
    <w:p w14:paraId="04E857E4" w14:textId="77777777" w:rsidR="00D634AD" w:rsidRPr="007E17A8" w:rsidRDefault="00D634AD" w:rsidP="00D634AD">
      <w:pPr>
        <w:numPr>
          <w:ilvl w:val="1"/>
          <w:numId w:val="11"/>
        </w:numPr>
        <w:spacing w:after="80"/>
        <w:ind w:left="907" w:hanging="547"/>
        <w:jc w:val="both"/>
        <w:rPr>
          <w:rFonts w:ascii="Times New Roman" w:hAnsi="Times New Roman"/>
        </w:rPr>
      </w:pPr>
      <w:r w:rsidRPr="007E17A8">
        <w:rPr>
          <w:rFonts w:ascii="Times New Roman" w:hAnsi="Times New Roman"/>
        </w:rPr>
        <w:t xml:space="preserve"> It is the responsibility of the student to obtain an extension to the permitted duration, through the Head of Department. Such requests to extend the duration will be taken, considering the progress of the student at the time of request.  </w:t>
      </w:r>
    </w:p>
    <w:p w14:paraId="60806E36" w14:textId="77777777" w:rsidR="00D634AD" w:rsidRPr="007E17A8" w:rsidRDefault="00D634AD" w:rsidP="00D634AD">
      <w:pPr>
        <w:numPr>
          <w:ilvl w:val="1"/>
          <w:numId w:val="11"/>
        </w:numPr>
        <w:spacing w:after="80"/>
        <w:ind w:left="907" w:hanging="547"/>
        <w:jc w:val="both"/>
        <w:rPr>
          <w:rFonts w:ascii="Times New Roman" w:hAnsi="Times New Roman"/>
        </w:rPr>
      </w:pPr>
      <w:r w:rsidRPr="007E17A8">
        <w:rPr>
          <w:rFonts w:ascii="Times New Roman" w:hAnsi="Times New Roman"/>
        </w:rPr>
        <w:t>Prior approval must be obtained in writing from the University, with the necessary documentation, for leave of absence (as defined by the Senate).  Only such leave will be considered for any official purpose, such as considering a subsequent attempt as a first attempt.</w:t>
      </w:r>
    </w:p>
    <w:p w14:paraId="3A110A26" w14:textId="77777777" w:rsidR="00BB53ED" w:rsidRDefault="00D634AD" w:rsidP="00BB53ED">
      <w:pPr>
        <w:numPr>
          <w:ilvl w:val="1"/>
          <w:numId w:val="11"/>
        </w:numPr>
        <w:spacing w:after="80"/>
        <w:ind w:left="907" w:hanging="547"/>
        <w:jc w:val="both"/>
        <w:rPr>
          <w:rFonts w:ascii="Times New Roman" w:hAnsi="Times New Roman"/>
        </w:rPr>
      </w:pPr>
      <w:r w:rsidRPr="007E17A8">
        <w:rPr>
          <w:rFonts w:ascii="Times New Roman" w:hAnsi="Times New Roman"/>
        </w:rPr>
        <w:t xml:space="preserve"> Only approved leave obtained on medical grounds will be normally be considered by the Senate in extending the maximum duration of study. </w:t>
      </w:r>
    </w:p>
    <w:p w14:paraId="684B3E3C" w14:textId="77777777" w:rsidR="00437248" w:rsidRDefault="00437248" w:rsidP="00437248">
      <w:pPr>
        <w:spacing w:after="80"/>
        <w:ind w:left="907"/>
        <w:jc w:val="both"/>
        <w:rPr>
          <w:rFonts w:ascii="Times New Roman" w:hAnsi="Times New Roman"/>
        </w:rPr>
      </w:pPr>
    </w:p>
    <w:p w14:paraId="65C936C4" w14:textId="77777777" w:rsidR="00D634AD" w:rsidRPr="007E17A8" w:rsidRDefault="00D634AD" w:rsidP="00D634AD">
      <w:pPr>
        <w:ind w:left="360"/>
        <w:jc w:val="both"/>
        <w:rPr>
          <w:rFonts w:ascii="Times New Roman" w:hAnsi="Times New Roman"/>
          <w:b/>
        </w:rPr>
      </w:pPr>
      <w:r w:rsidRPr="007E17A8">
        <w:rPr>
          <w:rFonts w:ascii="Times New Roman" w:hAnsi="Times New Roman"/>
          <w:b/>
        </w:rPr>
        <w:t>Exceptions</w:t>
      </w:r>
    </w:p>
    <w:p w14:paraId="7346DC0F" w14:textId="77777777" w:rsidR="00D634AD" w:rsidRPr="007E17A8" w:rsidRDefault="00D634AD" w:rsidP="00D634AD">
      <w:pPr>
        <w:numPr>
          <w:ilvl w:val="1"/>
          <w:numId w:val="11"/>
        </w:numPr>
        <w:spacing w:after="0"/>
        <w:ind w:left="810" w:hanging="450"/>
        <w:jc w:val="both"/>
        <w:rPr>
          <w:rFonts w:ascii="Times New Roman" w:hAnsi="Times New Roman"/>
          <w:b/>
        </w:rPr>
      </w:pPr>
      <w:r w:rsidRPr="007E17A8">
        <w:rPr>
          <w:rFonts w:ascii="Times New Roman" w:hAnsi="Times New Roman"/>
        </w:rPr>
        <w:t>The candidates are considered for exemptions to up to 30 credits of the course requirements for credits earned for similar course modules offered by another</w:t>
      </w:r>
      <w:r w:rsidRPr="007E17A8">
        <w:rPr>
          <w:rFonts w:ascii="Times New Roman" w:hAnsi="Times New Roman"/>
          <w:color w:val="FF0000"/>
        </w:rPr>
        <w:t xml:space="preserve"> </w:t>
      </w:r>
      <w:r w:rsidRPr="007E17A8">
        <w:rPr>
          <w:rFonts w:ascii="Times New Roman" w:hAnsi="Times New Roman"/>
        </w:rPr>
        <w:t>recognized university as may be approved by the Senate.</w:t>
      </w:r>
    </w:p>
    <w:p w14:paraId="00752A02" w14:textId="77777777" w:rsidR="00D634AD" w:rsidRPr="007E17A8" w:rsidRDefault="00D634AD" w:rsidP="00D634AD">
      <w:pPr>
        <w:ind w:left="720"/>
        <w:jc w:val="both"/>
        <w:rPr>
          <w:rFonts w:ascii="Times New Roman" w:hAnsi="Times New Roman"/>
          <w:b/>
        </w:rPr>
      </w:pPr>
    </w:p>
    <w:p w14:paraId="29D93A43" w14:textId="77777777" w:rsidR="00D634AD" w:rsidRPr="007E17A8" w:rsidRDefault="00D634AD" w:rsidP="00D634AD">
      <w:pPr>
        <w:numPr>
          <w:ilvl w:val="1"/>
          <w:numId w:val="11"/>
        </w:numPr>
        <w:spacing w:after="0"/>
        <w:ind w:left="810" w:hanging="450"/>
        <w:jc w:val="both"/>
        <w:rPr>
          <w:rFonts w:ascii="Times New Roman" w:hAnsi="Times New Roman"/>
          <w:b/>
        </w:rPr>
      </w:pPr>
      <w:r w:rsidRPr="007E17A8">
        <w:rPr>
          <w:rFonts w:ascii="Times New Roman" w:hAnsi="Times New Roman"/>
        </w:rPr>
        <w:t xml:space="preserve">Candidates who have covered sufficient content of the non-GPA modules offered in this course, in other academic programmes may be considered for exemptions, as may be approved by the Senate. </w:t>
      </w:r>
    </w:p>
    <w:p w14:paraId="0D9CE447" w14:textId="77777777" w:rsidR="00D634AD" w:rsidRPr="007E17A8" w:rsidRDefault="00D634AD" w:rsidP="00D634AD">
      <w:pPr>
        <w:ind w:left="900"/>
        <w:jc w:val="both"/>
        <w:rPr>
          <w:rFonts w:ascii="Times New Roman" w:hAnsi="Times New Roman"/>
        </w:rPr>
      </w:pPr>
    </w:p>
    <w:p w14:paraId="56EE1ECB" w14:textId="77777777" w:rsidR="00D634AD" w:rsidRPr="007E17A8" w:rsidRDefault="00D634AD" w:rsidP="00D634AD">
      <w:pPr>
        <w:numPr>
          <w:ilvl w:val="0"/>
          <w:numId w:val="11"/>
        </w:numPr>
        <w:spacing w:after="120"/>
        <w:jc w:val="both"/>
        <w:rPr>
          <w:rFonts w:ascii="Times New Roman" w:hAnsi="Times New Roman"/>
          <w:b/>
        </w:rPr>
      </w:pPr>
      <w:r w:rsidRPr="007E17A8">
        <w:rPr>
          <w:rFonts w:ascii="Times New Roman" w:hAnsi="Times New Roman"/>
          <w:b/>
        </w:rPr>
        <w:t>Evaluation and Grading</w:t>
      </w:r>
    </w:p>
    <w:p w14:paraId="08202D46" w14:textId="77777777" w:rsidR="00D634AD" w:rsidRPr="007E17A8" w:rsidRDefault="00D634AD" w:rsidP="00D634AD">
      <w:pPr>
        <w:numPr>
          <w:ilvl w:val="1"/>
          <w:numId w:val="10"/>
        </w:numPr>
        <w:spacing w:after="0"/>
        <w:ind w:left="900" w:hanging="540"/>
        <w:jc w:val="both"/>
        <w:rPr>
          <w:rFonts w:ascii="Times New Roman" w:hAnsi="Times New Roman"/>
        </w:rPr>
      </w:pPr>
      <w:r w:rsidRPr="007E17A8">
        <w:rPr>
          <w:rFonts w:ascii="Times New Roman" w:hAnsi="Times New Roman"/>
        </w:rPr>
        <w:t xml:space="preserve">   The performance of each student in each module will be evaluated by continuous assessment (CA) and end-of-semester examination (WE). </w:t>
      </w:r>
    </w:p>
    <w:p w14:paraId="55759837" w14:textId="77777777" w:rsidR="00D634AD" w:rsidRPr="007E17A8" w:rsidRDefault="00D634AD" w:rsidP="00D634AD">
      <w:pPr>
        <w:ind w:left="907"/>
        <w:jc w:val="both"/>
        <w:rPr>
          <w:rFonts w:ascii="Times New Roman" w:hAnsi="Times New Roman"/>
        </w:rPr>
      </w:pPr>
    </w:p>
    <w:p w14:paraId="1B5D6241" w14:textId="77777777" w:rsidR="00D634AD" w:rsidRPr="007E17A8" w:rsidRDefault="00D634AD" w:rsidP="00D634AD">
      <w:pPr>
        <w:numPr>
          <w:ilvl w:val="1"/>
          <w:numId w:val="10"/>
        </w:numPr>
        <w:tabs>
          <w:tab w:val="num" w:pos="900"/>
        </w:tabs>
        <w:spacing w:after="0"/>
        <w:ind w:left="907" w:hanging="547"/>
        <w:jc w:val="both"/>
        <w:rPr>
          <w:rFonts w:ascii="Times New Roman" w:hAnsi="Times New Roman"/>
        </w:rPr>
      </w:pPr>
      <w:r w:rsidRPr="007E17A8">
        <w:rPr>
          <w:rFonts w:ascii="Times New Roman" w:hAnsi="Times New Roman"/>
        </w:rPr>
        <w:t>In modules that evaluate the performance of the students by both CA and WE, the CA component normally carries a weightage of not less than 30% and not more than 60% of the total marks.</w:t>
      </w:r>
    </w:p>
    <w:p w14:paraId="688F1D25" w14:textId="77777777" w:rsidR="00D634AD" w:rsidRPr="007E17A8" w:rsidRDefault="00D634AD" w:rsidP="00D634AD">
      <w:pPr>
        <w:pStyle w:val="ListParagraph"/>
        <w:rPr>
          <w:rFonts w:ascii="Times New Roman" w:hAnsi="Times New Roman"/>
        </w:rPr>
      </w:pPr>
    </w:p>
    <w:p w14:paraId="555E03DC" w14:textId="77777777" w:rsidR="00D634AD" w:rsidRPr="007E17A8" w:rsidRDefault="00D634AD" w:rsidP="00D634AD">
      <w:pPr>
        <w:numPr>
          <w:ilvl w:val="1"/>
          <w:numId w:val="10"/>
        </w:numPr>
        <w:tabs>
          <w:tab w:val="num" w:pos="900"/>
        </w:tabs>
        <w:spacing w:after="0"/>
        <w:ind w:left="907" w:hanging="547"/>
        <w:jc w:val="both"/>
        <w:rPr>
          <w:rFonts w:ascii="Times New Roman" w:hAnsi="Times New Roman"/>
        </w:rPr>
      </w:pPr>
      <w:r w:rsidRPr="007E17A8">
        <w:rPr>
          <w:rFonts w:ascii="Times New Roman" w:hAnsi="Times New Roman"/>
        </w:rPr>
        <w:t xml:space="preserve">The continuous assessment of a student may be based on a specified combination of assignments including coursework, project work, design project work, laboratory work, tutorials, field trips, field camps, quizzes, presentations, term papers and participation in the course activities. </w:t>
      </w:r>
    </w:p>
    <w:p w14:paraId="12C6EC96" w14:textId="77777777" w:rsidR="00D634AD" w:rsidRPr="007E17A8" w:rsidRDefault="00D634AD" w:rsidP="00D634AD">
      <w:pPr>
        <w:numPr>
          <w:ilvl w:val="1"/>
          <w:numId w:val="10"/>
        </w:numPr>
        <w:tabs>
          <w:tab w:val="num" w:pos="900"/>
        </w:tabs>
        <w:spacing w:after="0"/>
        <w:ind w:left="907" w:hanging="547"/>
        <w:jc w:val="both"/>
        <w:rPr>
          <w:rFonts w:ascii="Times New Roman" w:hAnsi="Times New Roman"/>
        </w:rPr>
      </w:pPr>
      <w:r w:rsidRPr="007E17A8">
        <w:rPr>
          <w:rFonts w:ascii="Times New Roman" w:hAnsi="Times New Roman"/>
        </w:rPr>
        <w:t>Each Candidate should obtain at least 40% from each of CA and WE components to obtain a pass grade a module.</w:t>
      </w:r>
    </w:p>
    <w:p w14:paraId="746EEBEA" w14:textId="16A54837" w:rsidR="00D634AD" w:rsidRPr="00D4346F" w:rsidRDefault="00D4346F" w:rsidP="00D4346F">
      <w:pPr>
        <w:pStyle w:val="ListParagraph"/>
        <w:jc w:val="center"/>
        <w:rPr>
          <w:rFonts w:ascii="Arial" w:hAnsi="Arial" w:cs="Arial"/>
          <w:sz w:val="24"/>
          <w:szCs w:val="24"/>
        </w:rPr>
      </w:pPr>
      <w:r w:rsidRPr="00D4346F">
        <w:rPr>
          <w:rFonts w:ascii="Arial" w:hAnsi="Arial" w:cs="Arial"/>
          <w:sz w:val="24"/>
          <w:szCs w:val="24"/>
        </w:rPr>
        <w:t>437</w:t>
      </w:r>
    </w:p>
    <w:p w14:paraId="5E5D5D67" w14:textId="77777777" w:rsidR="00D634AD" w:rsidRPr="007E17A8" w:rsidRDefault="00D634AD" w:rsidP="00D634AD">
      <w:pPr>
        <w:numPr>
          <w:ilvl w:val="1"/>
          <w:numId w:val="10"/>
        </w:numPr>
        <w:tabs>
          <w:tab w:val="num" w:pos="900"/>
        </w:tabs>
        <w:spacing w:after="0"/>
        <w:ind w:left="907" w:hanging="547"/>
        <w:jc w:val="both"/>
        <w:rPr>
          <w:rFonts w:ascii="Times New Roman" w:hAnsi="Times New Roman"/>
        </w:rPr>
      </w:pPr>
      <w:r w:rsidRPr="007E17A8">
        <w:rPr>
          <w:rFonts w:ascii="Times New Roman" w:hAnsi="Times New Roman"/>
        </w:rPr>
        <w:lastRenderedPageBreak/>
        <w:t>Grade C+ or above is required to earn credit for and pass a module.</w:t>
      </w:r>
    </w:p>
    <w:p w14:paraId="3ED519C0" w14:textId="77777777" w:rsidR="00D634AD" w:rsidRPr="007E17A8" w:rsidRDefault="00D634AD" w:rsidP="00D634AD">
      <w:pPr>
        <w:pStyle w:val="ListParagraph"/>
        <w:rPr>
          <w:rFonts w:ascii="Times New Roman" w:hAnsi="Times New Roman"/>
        </w:rPr>
      </w:pPr>
    </w:p>
    <w:p w14:paraId="1049B2B8" w14:textId="77777777" w:rsidR="00D634AD" w:rsidRPr="007E17A8" w:rsidRDefault="00D634AD" w:rsidP="00D634AD">
      <w:pPr>
        <w:numPr>
          <w:ilvl w:val="1"/>
          <w:numId w:val="10"/>
        </w:numPr>
        <w:tabs>
          <w:tab w:val="num" w:pos="900"/>
        </w:tabs>
        <w:spacing w:after="0"/>
        <w:ind w:left="907" w:hanging="547"/>
        <w:jc w:val="both"/>
        <w:rPr>
          <w:rFonts w:ascii="Times New Roman" w:hAnsi="Times New Roman"/>
        </w:rPr>
      </w:pPr>
      <w:r w:rsidRPr="007E17A8">
        <w:rPr>
          <w:rFonts w:ascii="Times New Roman" w:hAnsi="Times New Roman"/>
        </w:rPr>
        <w:t>A student failing either CA or WE receives an incomplete grade I, and is required to repeat only the failed component/s as a repeat candidate to complete the module.</w:t>
      </w:r>
    </w:p>
    <w:p w14:paraId="7659F9C2" w14:textId="77777777" w:rsidR="00D634AD" w:rsidRPr="007E17A8" w:rsidRDefault="00D634AD" w:rsidP="00D634AD">
      <w:pPr>
        <w:pStyle w:val="ListParagraph"/>
        <w:rPr>
          <w:rFonts w:ascii="Times New Roman" w:hAnsi="Times New Roman"/>
        </w:rPr>
      </w:pPr>
    </w:p>
    <w:p w14:paraId="74CF7B2A" w14:textId="77777777" w:rsidR="00D634AD" w:rsidRPr="007E17A8" w:rsidRDefault="00D634AD" w:rsidP="00D634AD">
      <w:pPr>
        <w:numPr>
          <w:ilvl w:val="1"/>
          <w:numId w:val="10"/>
        </w:numPr>
        <w:tabs>
          <w:tab w:val="num" w:pos="900"/>
        </w:tabs>
        <w:spacing w:after="0"/>
        <w:ind w:left="907" w:hanging="547"/>
        <w:jc w:val="both"/>
        <w:rPr>
          <w:rFonts w:ascii="Times New Roman" w:hAnsi="Times New Roman"/>
        </w:rPr>
      </w:pPr>
      <w:r w:rsidRPr="007E17A8">
        <w:rPr>
          <w:rFonts w:ascii="Times New Roman" w:hAnsi="Times New Roman"/>
        </w:rPr>
        <w:t>A student failing both CA and WE receives an F grade, and must repeat both components in order to upgrade the result.</w:t>
      </w:r>
    </w:p>
    <w:p w14:paraId="56B4E57B" w14:textId="77777777" w:rsidR="00D634AD" w:rsidRPr="007E17A8" w:rsidRDefault="00D634AD" w:rsidP="00D634AD">
      <w:pPr>
        <w:pStyle w:val="ListParagraph"/>
        <w:rPr>
          <w:rFonts w:ascii="Times New Roman" w:hAnsi="Times New Roman"/>
        </w:rPr>
      </w:pPr>
    </w:p>
    <w:p w14:paraId="74D476D3" w14:textId="77777777" w:rsidR="00D634AD" w:rsidRPr="007E17A8" w:rsidRDefault="00D634AD" w:rsidP="00D634AD">
      <w:pPr>
        <w:numPr>
          <w:ilvl w:val="1"/>
          <w:numId w:val="10"/>
        </w:numPr>
        <w:tabs>
          <w:tab w:val="num" w:pos="900"/>
        </w:tabs>
        <w:spacing w:after="0"/>
        <w:ind w:left="907" w:hanging="547"/>
        <w:jc w:val="both"/>
        <w:rPr>
          <w:rFonts w:ascii="Times New Roman" w:hAnsi="Times New Roman"/>
        </w:rPr>
      </w:pPr>
      <w:r w:rsidRPr="007E17A8">
        <w:rPr>
          <w:rFonts w:ascii="Times New Roman" w:hAnsi="Times New Roman"/>
        </w:rPr>
        <w:t xml:space="preserve">The grades </w:t>
      </w:r>
      <w:r w:rsidRPr="007E17A8">
        <w:rPr>
          <w:rFonts w:ascii="Times New Roman" w:hAnsi="Times New Roman"/>
          <w:i/>
        </w:rPr>
        <w:t>F</w:t>
      </w:r>
      <w:r w:rsidRPr="007E17A8">
        <w:rPr>
          <w:rFonts w:ascii="Times New Roman" w:hAnsi="Times New Roman"/>
        </w:rPr>
        <w:t xml:space="preserve"> or </w:t>
      </w:r>
      <w:r w:rsidRPr="007E17A8">
        <w:rPr>
          <w:rFonts w:ascii="Times New Roman" w:hAnsi="Times New Roman"/>
          <w:i/>
        </w:rPr>
        <w:t>I</w:t>
      </w:r>
      <w:r w:rsidRPr="007E17A8">
        <w:rPr>
          <w:rFonts w:ascii="Times New Roman" w:hAnsi="Times New Roman"/>
        </w:rPr>
        <w:t xml:space="preserve"> can be improved up to a </w:t>
      </w:r>
      <w:r w:rsidRPr="007E17A8">
        <w:rPr>
          <w:rFonts w:ascii="Times New Roman" w:hAnsi="Times New Roman"/>
          <w:i/>
        </w:rPr>
        <w:t>C+</w:t>
      </w:r>
      <w:r w:rsidRPr="007E17A8">
        <w:rPr>
          <w:rFonts w:ascii="Times New Roman" w:hAnsi="Times New Roman"/>
        </w:rPr>
        <w:t xml:space="preserve"> grade and considered for calculating the GPA. Students who wish to upgrade need to complete their examinations and obtain the upgraded grade before the relevant final board of examiners after the graduation requirements are met.</w:t>
      </w:r>
    </w:p>
    <w:p w14:paraId="15DF6003" w14:textId="77777777" w:rsidR="00D634AD" w:rsidRPr="007E17A8" w:rsidRDefault="00D634AD" w:rsidP="00D634AD">
      <w:pPr>
        <w:pStyle w:val="ListParagraph"/>
        <w:rPr>
          <w:rFonts w:ascii="Times New Roman" w:hAnsi="Times New Roman"/>
        </w:rPr>
      </w:pPr>
    </w:p>
    <w:p w14:paraId="3573012C" w14:textId="77777777" w:rsidR="00D634AD" w:rsidRPr="007E17A8" w:rsidRDefault="00D634AD" w:rsidP="00D634AD">
      <w:pPr>
        <w:numPr>
          <w:ilvl w:val="1"/>
          <w:numId w:val="10"/>
        </w:numPr>
        <w:tabs>
          <w:tab w:val="num" w:pos="900"/>
        </w:tabs>
        <w:spacing w:after="0"/>
        <w:ind w:left="907" w:hanging="547"/>
        <w:jc w:val="both"/>
        <w:rPr>
          <w:rFonts w:ascii="Times New Roman" w:hAnsi="Times New Roman"/>
        </w:rPr>
      </w:pPr>
      <w:r w:rsidRPr="007E17A8">
        <w:rPr>
          <w:rFonts w:ascii="Times New Roman" w:hAnsi="Times New Roman"/>
        </w:rPr>
        <w:t>The grade achieved for each module will be entered on the student’s permanent record in the registry.  The grade at the first attempt or the improved grade earned at a subsequent attempt, if any, will be recorded.</w:t>
      </w:r>
    </w:p>
    <w:p w14:paraId="1800C3A9" w14:textId="77777777" w:rsidR="00D634AD" w:rsidRPr="007E17A8" w:rsidRDefault="00D634AD" w:rsidP="00D634AD">
      <w:pPr>
        <w:pStyle w:val="ListParagraph"/>
        <w:rPr>
          <w:rFonts w:ascii="Times New Roman" w:hAnsi="Times New Roman"/>
        </w:rPr>
      </w:pPr>
    </w:p>
    <w:p w14:paraId="705EF997" w14:textId="77777777" w:rsidR="00D634AD" w:rsidRPr="007E17A8" w:rsidRDefault="00D634AD" w:rsidP="00D634AD">
      <w:pPr>
        <w:numPr>
          <w:ilvl w:val="1"/>
          <w:numId w:val="10"/>
        </w:numPr>
        <w:tabs>
          <w:tab w:val="num" w:pos="900"/>
        </w:tabs>
        <w:spacing w:after="0"/>
        <w:ind w:left="907" w:hanging="547"/>
        <w:jc w:val="both"/>
        <w:rPr>
          <w:rFonts w:ascii="Times New Roman" w:hAnsi="Times New Roman"/>
        </w:rPr>
      </w:pPr>
      <w:r w:rsidRPr="007E17A8">
        <w:rPr>
          <w:rFonts w:ascii="Times New Roman" w:hAnsi="Times New Roman"/>
        </w:rPr>
        <w:t>Except when an Academic Concession has been granted, the highest grade obtainable at a repeat attempt is the grade “C+” and it will be used for calculating Grade Point Average (GPA).</w:t>
      </w:r>
    </w:p>
    <w:p w14:paraId="069A15D6" w14:textId="77777777" w:rsidR="00D634AD" w:rsidRPr="007E17A8" w:rsidRDefault="00D634AD" w:rsidP="00D634AD">
      <w:pPr>
        <w:pStyle w:val="ListParagraph"/>
        <w:rPr>
          <w:rFonts w:ascii="Times New Roman" w:hAnsi="Times New Roman"/>
        </w:rPr>
      </w:pPr>
    </w:p>
    <w:p w14:paraId="60446F82" w14:textId="77777777" w:rsidR="00D634AD" w:rsidRPr="007E17A8" w:rsidRDefault="00D634AD" w:rsidP="00D634AD">
      <w:pPr>
        <w:numPr>
          <w:ilvl w:val="1"/>
          <w:numId w:val="10"/>
        </w:numPr>
        <w:tabs>
          <w:tab w:val="num" w:pos="900"/>
        </w:tabs>
        <w:spacing w:after="0"/>
        <w:ind w:left="907" w:hanging="547"/>
        <w:jc w:val="both"/>
        <w:rPr>
          <w:rFonts w:ascii="Times New Roman" w:hAnsi="Times New Roman"/>
        </w:rPr>
      </w:pPr>
      <w:r w:rsidRPr="007E17A8">
        <w:rPr>
          <w:rFonts w:ascii="Times New Roman" w:hAnsi="Times New Roman"/>
        </w:rPr>
        <w:t xml:space="preserve">Grade N signifies an Academic Concession granted, in the event a student is unable to sit for the WE due to illness or other compelling reason accepted by the Senate. In such instances the student must make an appeal, with supporting documents, to the Director Postgraduate Studies for an Academic concession. </w:t>
      </w:r>
    </w:p>
    <w:p w14:paraId="3C76B3FB" w14:textId="77777777" w:rsidR="00D634AD" w:rsidRPr="007E17A8" w:rsidRDefault="00D634AD" w:rsidP="00D634AD">
      <w:pPr>
        <w:pStyle w:val="ListParagraph"/>
        <w:rPr>
          <w:rFonts w:ascii="Times New Roman" w:hAnsi="Times New Roman"/>
        </w:rPr>
      </w:pPr>
    </w:p>
    <w:p w14:paraId="30E37149" w14:textId="77777777" w:rsidR="00D634AD" w:rsidRPr="007E17A8" w:rsidRDefault="00D634AD" w:rsidP="00D634AD">
      <w:pPr>
        <w:numPr>
          <w:ilvl w:val="1"/>
          <w:numId w:val="10"/>
        </w:numPr>
        <w:tabs>
          <w:tab w:val="num" w:pos="900"/>
        </w:tabs>
        <w:spacing w:after="0"/>
        <w:ind w:left="907" w:hanging="547"/>
        <w:jc w:val="both"/>
        <w:rPr>
          <w:rFonts w:ascii="Times New Roman" w:hAnsi="Times New Roman"/>
        </w:rPr>
      </w:pPr>
      <w:r w:rsidRPr="007E17A8">
        <w:rPr>
          <w:rFonts w:ascii="Times New Roman" w:hAnsi="Times New Roman"/>
        </w:rPr>
        <w:t>Letter grades based on the Grade point system and corresponding description, as illustrated in the Table 5.1 will be used to express the performance at each module.  Benchmark percentages are given for the guidance of the examiner and may be changed upwards or downwards by the moderator in consultation with the examiner.</w:t>
      </w:r>
    </w:p>
    <w:p w14:paraId="207DD3D7" w14:textId="77777777" w:rsidR="00D634AD" w:rsidRPr="007E17A8" w:rsidRDefault="00D634AD" w:rsidP="00D634AD">
      <w:pPr>
        <w:spacing w:after="120"/>
        <w:jc w:val="center"/>
        <w:rPr>
          <w:rFonts w:ascii="Times New Roman" w:hAnsi="Times New Roman"/>
          <w:b/>
        </w:rPr>
      </w:pPr>
      <w:r w:rsidRPr="007E17A8">
        <w:rPr>
          <w:rFonts w:ascii="Times New Roman" w:hAnsi="Times New Roman"/>
          <w:b/>
        </w:rPr>
        <w:t>Table 5.1 Grading System</w:t>
      </w:r>
    </w:p>
    <w:tbl>
      <w:tblPr>
        <w:tblW w:w="7243"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6"/>
        <w:gridCol w:w="971"/>
        <w:gridCol w:w="1530"/>
        <w:gridCol w:w="2226"/>
      </w:tblGrid>
      <w:tr w:rsidR="00D634AD" w:rsidRPr="007E17A8" w14:paraId="4DC87C85" w14:textId="77777777" w:rsidTr="00BD4314">
        <w:trPr>
          <w:trHeight w:val="368"/>
        </w:trPr>
        <w:tc>
          <w:tcPr>
            <w:tcW w:w="2516" w:type="dxa"/>
            <w:vAlign w:val="center"/>
          </w:tcPr>
          <w:p w14:paraId="16349C2D" w14:textId="77777777" w:rsidR="00D634AD" w:rsidRPr="007E17A8" w:rsidRDefault="00D634AD" w:rsidP="004C29E4">
            <w:pPr>
              <w:pStyle w:val="BodyText"/>
              <w:spacing w:after="0"/>
              <w:ind w:hanging="18"/>
              <w:jc w:val="center"/>
              <w:rPr>
                <w:b/>
                <w:sz w:val="22"/>
                <w:szCs w:val="22"/>
              </w:rPr>
            </w:pPr>
            <w:r w:rsidRPr="007E17A8">
              <w:rPr>
                <w:b/>
                <w:sz w:val="22"/>
                <w:szCs w:val="22"/>
              </w:rPr>
              <w:t>Benchmark Percentage</w:t>
            </w:r>
          </w:p>
        </w:tc>
        <w:tc>
          <w:tcPr>
            <w:tcW w:w="971" w:type="dxa"/>
            <w:vAlign w:val="center"/>
          </w:tcPr>
          <w:p w14:paraId="7B581F3E" w14:textId="77777777" w:rsidR="00D634AD" w:rsidRPr="007E17A8" w:rsidRDefault="00D634AD" w:rsidP="004C29E4">
            <w:pPr>
              <w:pStyle w:val="BodyText"/>
              <w:spacing w:after="0"/>
              <w:ind w:firstLine="44"/>
              <w:rPr>
                <w:b/>
                <w:sz w:val="22"/>
                <w:szCs w:val="22"/>
              </w:rPr>
            </w:pPr>
            <w:r w:rsidRPr="007E17A8">
              <w:rPr>
                <w:b/>
                <w:sz w:val="22"/>
                <w:szCs w:val="22"/>
              </w:rPr>
              <w:t>Grade</w:t>
            </w:r>
          </w:p>
        </w:tc>
        <w:tc>
          <w:tcPr>
            <w:tcW w:w="1530" w:type="dxa"/>
            <w:vAlign w:val="center"/>
          </w:tcPr>
          <w:p w14:paraId="7EB396DD" w14:textId="77777777" w:rsidR="00D634AD" w:rsidRPr="007E17A8" w:rsidRDefault="00D634AD" w:rsidP="004C29E4">
            <w:pPr>
              <w:pStyle w:val="BodyText"/>
              <w:spacing w:after="0"/>
              <w:rPr>
                <w:b/>
                <w:sz w:val="22"/>
                <w:szCs w:val="22"/>
              </w:rPr>
            </w:pPr>
            <w:r w:rsidRPr="007E17A8">
              <w:rPr>
                <w:b/>
                <w:sz w:val="22"/>
                <w:szCs w:val="22"/>
              </w:rPr>
              <w:t>Grade Point</w:t>
            </w:r>
          </w:p>
        </w:tc>
        <w:tc>
          <w:tcPr>
            <w:tcW w:w="2226" w:type="dxa"/>
            <w:vAlign w:val="center"/>
          </w:tcPr>
          <w:p w14:paraId="4AAF9A8A" w14:textId="77777777" w:rsidR="00D634AD" w:rsidRPr="007E17A8" w:rsidRDefault="00D634AD" w:rsidP="004C29E4">
            <w:pPr>
              <w:pStyle w:val="BodyText"/>
              <w:spacing w:after="0"/>
              <w:rPr>
                <w:b/>
                <w:sz w:val="22"/>
                <w:szCs w:val="22"/>
              </w:rPr>
            </w:pPr>
            <w:r w:rsidRPr="007E17A8">
              <w:rPr>
                <w:b/>
                <w:sz w:val="22"/>
                <w:szCs w:val="22"/>
              </w:rPr>
              <w:t>Description</w:t>
            </w:r>
          </w:p>
        </w:tc>
      </w:tr>
      <w:tr w:rsidR="00D634AD" w:rsidRPr="007E17A8" w14:paraId="57605F15" w14:textId="77777777" w:rsidTr="00BD4314">
        <w:trPr>
          <w:trHeight w:val="287"/>
        </w:trPr>
        <w:tc>
          <w:tcPr>
            <w:tcW w:w="2516" w:type="dxa"/>
          </w:tcPr>
          <w:p w14:paraId="1F5DD2BC" w14:textId="77777777" w:rsidR="00D634AD" w:rsidRPr="007E17A8" w:rsidRDefault="00D634AD" w:rsidP="004C29E4">
            <w:pPr>
              <w:pStyle w:val="BodyText"/>
              <w:spacing w:after="0"/>
              <w:ind w:firstLine="72"/>
              <w:rPr>
                <w:sz w:val="22"/>
                <w:szCs w:val="22"/>
              </w:rPr>
            </w:pPr>
            <w:r w:rsidRPr="007E17A8">
              <w:rPr>
                <w:sz w:val="22"/>
                <w:szCs w:val="22"/>
              </w:rPr>
              <w:t>85 and above</w:t>
            </w:r>
          </w:p>
        </w:tc>
        <w:tc>
          <w:tcPr>
            <w:tcW w:w="971" w:type="dxa"/>
          </w:tcPr>
          <w:p w14:paraId="6D6A36A8" w14:textId="77777777" w:rsidR="00D634AD" w:rsidRPr="007E17A8" w:rsidRDefault="00D634AD" w:rsidP="004C29E4">
            <w:pPr>
              <w:pStyle w:val="BodyText"/>
              <w:spacing w:after="0"/>
              <w:ind w:firstLine="72"/>
              <w:jc w:val="center"/>
              <w:rPr>
                <w:sz w:val="22"/>
                <w:szCs w:val="22"/>
                <w:vertAlign w:val="superscript"/>
              </w:rPr>
            </w:pPr>
            <w:r w:rsidRPr="007E17A8">
              <w:rPr>
                <w:sz w:val="22"/>
                <w:szCs w:val="22"/>
              </w:rPr>
              <w:t>A+</w:t>
            </w:r>
          </w:p>
        </w:tc>
        <w:tc>
          <w:tcPr>
            <w:tcW w:w="1530" w:type="dxa"/>
          </w:tcPr>
          <w:p w14:paraId="1EBFCC5C" w14:textId="77777777" w:rsidR="00D634AD" w:rsidRPr="007E17A8" w:rsidRDefault="00D634AD" w:rsidP="004C29E4">
            <w:pPr>
              <w:pStyle w:val="BodyText"/>
              <w:spacing w:after="0"/>
              <w:jc w:val="center"/>
              <w:rPr>
                <w:sz w:val="22"/>
                <w:szCs w:val="22"/>
              </w:rPr>
            </w:pPr>
            <w:r w:rsidRPr="007E17A8">
              <w:rPr>
                <w:sz w:val="22"/>
                <w:szCs w:val="22"/>
              </w:rPr>
              <w:t>4.2</w:t>
            </w:r>
          </w:p>
        </w:tc>
        <w:tc>
          <w:tcPr>
            <w:tcW w:w="2226" w:type="dxa"/>
          </w:tcPr>
          <w:p w14:paraId="3F0FACAE" w14:textId="77777777" w:rsidR="00D634AD" w:rsidRPr="007E17A8" w:rsidRDefault="00D634AD" w:rsidP="004C29E4">
            <w:pPr>
              <w:pStyle w:val="BodyText"/>
              <w:spacing w:after="0"/>
              <w:rPr>
                <w:sz w:val="22"/>
                <w:szCs w:val="22"/>
                <w:vertAlign w:val="superscript"/>
              </w:rPr>
            </w:pPr>
          </w:p>
        </w:tc>
      </w:tr>
      <w:tr w:rsidR="00D634AD" w:rsidRPr="007E17A8" w14:paraId="257ADF5B" w14:textId="77777777" w:rsidTr="00BD4314">
        <w:trPr>
          <w:trHeight w:val="260"/>
        </w:trPr>
        <w:tc>
          <w:tcPr>
            <w:tcW w:w="2516" w:type="dxa"/>
          </w:tcPr>
          <w:p w14:paraId="272C9A99" w14:textId="77777777" w:rsidR="00D634AD" w:rsidRPr="007E17A8" w:rsidRDefault="00D634AD" w:rsidP="004C29E4">
            <w:pPr>
              <w:pStyle w:val="BodyText"/>
              <w:spacing w:after="0"/>
              <w:ind w:firstLine="72"/>
              <w:rPr>
                <w:sz w:val="22"/>
                <w:szCs w:val="22"/>
              </w:rPr>
            </w:pPr>
            <w:r w:rsidRPr="007E17A8">
              <w:rPr>
                <w:sz w:val="22"/>
                <w:szCs w:val="22"/>
              </w:rPr>
              <w:t>75 to 84</w:t>
            </w:r>
          </w:p>
        </w:tc>
        <w:tc>
          <w:tcPr>
            <w:tcW w:w="971" w:type="dxa"/>
          </w:tcPr>
          <w:p w14:paraId="75339D9F" w14:textId="77777777" w:rsidR="00D634AD" w:rsidRPr="007E17A8" w:rsidRDefault="00D634AD" w:rsidP="004C29E4">
            <w:pPr>
              <w:pStyle w:val="BodyText"/>
              <w:spacing w:after="0"/>
              <w:ind w:firstLine="72"/>
              <w:jc w:val="center"/>
              <w:rPr>
                <w:sz w:val="22"/>
                <w:szCs w:val="22"/>
              </w:rPr>
            </w:pPr>
            <w:r w:rsidRPr="007E17A8">
              <w:rPr>
                <w:sz w:val="22"/>
                <w:szCs w:val="22"/>
              </w:rPr>
              <w:t>A</w:t>
            </w:r>
          </w:p>
        </w:tc>
        <w:tc>
          <w:tcPr>
            <w:tcW w:w="1530" w:type="dxa"/>
          </w:tcPr>
          <w:p w14:paraId="5832C5E3" w14:textId="77777777" w:rsidR="00D634AD" w:rsidRPr="007E17A8" w:rsidRDefault="00D634AD" w:rsidP="004C29E4">
            <w:pPr>
              <w:pStyle w:val="BodyText"/>
              <w:spacing w:after="0"/>
              <w:jc w:val="center"/>
              <w:rPr>
                <w:sz w:val="22"/>
                <w:szCs w:val="22"/>
              </w:rPr>
            </w:pPr>
            <w:r w:rsidRPr="007E17A8">
              <w:rPr>
                <w:sz w:val="22"/>
                <w:szCs w:val="22"/>
              </w:rPr>
              <w:t>4.0</w:t>
            </w:r>
          </w:p>
        </w:tc>
        <w:tc>
          <w:tcPr>
            <w:tcW w:w="2226" w:type="dxa"/>
          </w:tcPr>
          <w:p w14:paraId="2EDE6950" w14:textId="77777777" w:rsidR="00D634AD" w:rsidRPr="007E17A8" w:rsidRDefault="00D634AD" w:rsidP="004C29E4">
            <w:pPr>
              <w:pStyle w:val="BodyText"/>
              <w:spacing w:after="0"/>
              <w:rPr>
                <w:sz w:val="22"/>
                <w:szCs w:val="22"/>
              </w:rPr>
            </w:pPr>
            <w:r w:rsidRPr="007E17A8">
              <w:rPr>
                <w:sz w:val="22"/>
                <w:szCs w:val="22"/>
              </w:rPr>
              <w:t>Excellent</w:t>
            </w:r>
            <w:r w:rsidRPr="007E17A8">
              <w:rPr>
                <w:sz w:val="22"/>
                <w:szCs w:val="22"/>
                <w:vertAlign w:val="superscript"/>
              </w:rPr>
              <w:t xml:space="preserve"> </w:t>
            </w:r>
          </w:p>
        </w:tc>
      </w:tr>
      <w:tr w:rsidR="00D634AD" w:rsidRPr="007E17A8" w14:paraId="7F053A81" w14:textId="77777777" w:rsidTr="00BD4314">
        <w:trPr>
          <w:trHeight w:val="260"/>
        </w:trPr>
        <w:tc>
          <w:tcPr>
            <w:tcW w:w="2516" w:type="dxa"/>
          </w:tcPr>
          <w:p w14:paraId="75D76FDC" w14:textId="77777777" w:rsidR="00D634AD" w:rsidRPr="007E17A8" w:rsidRDefault="00D634AD" w:rsidP="004C29E4">
            <w:pPr>
              <w:pStyle w:val="BodyText"/>
              <w:spacing w:after="0"/>
              <w:ind w:firstLine="72"/>
              <w:rPr>
                <w:sz w:val="22"/>
                <w:szCs w:val="22"/>
              </w:rPr>
            </w:pPr>
            <w:r w:rsidRPr="007E17A8">
              <w:rPr>
                <w:sz w:val="22"/>
                <w:szCs w:val="22"/>
              </w:rPr>
              <w:t>70 to 74</w:t>
            </w:r>
          </w:p>
        </w:tc>
        <w:tc>
          <w:tcPr>
            <w:tcW w:w="971" w:type="dxa"/>
          </w:tcPr>
          <w:p w14:paraId="64EB47E6" w14:textId="77777777" w:rsidR="00D634AD" w:rsidRPr="007E17A8" w:rsidRDefault="00D634AD" w:rsidP="004C29E4">
            <w:pPr>
              <w:pStyle w:val="BodyText"/>
              <w:spacing w:after="0"/>
              <w:ind w:firstLine="72"/>
              <w:jc w:val="center"/>
              <w:rPr>
                <w:sz w:val="22"/>
                <w:szCs w:val="22"/>
                <w:vertAlign w:val="superscript"/>
              </w:rPr>
            </w:pPr>
            <w:r w:rsidRPr="007E17A8">
              <w:rPr>
                <w:sz w:val="22"/>
                <w:szCs w:val="22"/>
              </w:rPr>
              <w:t>A-</w:t>
            </w:r>
          </w:p>
        </w:tc>
        <w:tc>
          <w:tcPr>
            <w:tcW w:w="1530" w:type="dxa"/>
          </w:tcPr>
          <w:p w14:paraId="313241DC" w14:textId="77777777" w:rsidR="00D634AD" w:rsidRPr="007E17A8" w:rsidRDefault="00D634AD" w:rsidP="004C29E4">
            <w:pPr>
              <w:pStyle w:val="BodyText"/>
              <w:spacing w:after="0"/>
              <w:jc w:val="center"/>
              <w:rPr>
                <w:sz w:val="22"/>
                <w:szCs w:val="22"/>
              </w:rPr>
            </w:pPr>
            <w:r w:rsidRPr="007E17A8">
              <w:rPr>
                <w:sz w:val="22"/>
                <w:szCs w:val="22"/>
              </w:rPr>
              <w:t>3.7</w:t>
            </w:r>
          </w:p>
        </w:tc>
        <w:tc>
          <w:tcPr>
            <w:tcW w:w="2226" w:type="dxa"/>
          </w:tcPr>
          <w:p w14:paraId="70155FB3" w14:textId="77777777" w:rsidR="00D634AD" w:rsidRPr="007E17A8" w:rsidRDefault="00D634AD" w:rsidP="004C29E4">
            <w:pPr>
              <w:pStyle w:val="BodyText"/>
              <w:spacing w:after="0"/>
              <w:rPr>
                <w:sz w:val="22"/>
                <w:szCs w:val="22"/>
              </w:rPr>
            </w:pPr>
          </w:p>
        </w:tc>
      </w:tr>
      <w:tr w:rsidR="00D634AD" w:rsidRPr="007E17A8" w14:paraId="5DDA91E3" w14:textId="77777777" w:rsidTr="00BD4314">
        <w:trPr>
          <w:trHeight w:val="260"/>
        </w:trPr>
        <w:tc>
          <w:tcPr>
            <w:tcW w:w="2516" w:type="dxa"/>
          </w:tcPr>
          <w:p w14:paraId="06A25709" w14:textId="77777777" w:rsidR="00D634AD" w:rsidRPr="007E17A8" w:rsidRDefault="00D634AD" w:rsidP="004C29E4">
            <w:pPr>
              <w:pStyle w:val="BodyText"/>
              <w:spacing w:after="0"/>
              <w:ind w:firstLine="72"/>
              <w:rPr>
                <w:sz w:val="22"/>
                <w:szCs w:val="22"/>
              </w:rPr>
            </w:pPr>
            <w:r w:rsidRPr="007E17A8">
              <w:rPr>
                <w:sz w:val="22"/>
                <w:szCs w:val="22"/>
              </w:rPr>
              <w:t>65 to 69</w:t>
            </w:r>
          </w:p>
        </w:tc>
        <w:tc>
          <w:tcPr>
            <w:tcW w:w="971" w:type="dxa"/>
          </w:tcPr>
          <w:p w14:paraId="1CF1A49A" w14:textId="77777777" w:rsidR="00D634AD" w:rsidRPr="007E17A8" w:rsidRDefault="00D634AD" w:rsidP="004C29E4">
            <w:pPr>
              <w:pStyle w:val="BodyText"/>
              <w:spacing w:after="0"/>
              <w:ind w:firstLine="72"/>
              <w:jc w:val="center"/>
              <w:rPr>
                <w:sz w:val="22"/>
                <w:szCs w:val="22"/>
                <w:vertAlign w:val="superscript"/>
              </w:rPr>
            </w:pPr>
            <w:r w:rsidRPr="007E17A8">
              <w:rPr>
                <w:sz w:val="22"/>
                <w:szCs w:val="22"/>
              </w:rPr>
              <w:t>B+</w:t>
            </w:r>
          </w:p>
        </w:tc>
        <w:tc>
          <w:tcPr>
            <w:tcW w:w="1530" w:type="dxa"/>
          </w:tcPr>
          <w:p w14:paraId="7D44617D" w14:textId="77777777" w:rsidR="00D634AD" w:rsidRPr="007E17A8" w:rsidRDefault="00D634AD" w:rsidP="004C29E4">
            <w:pPr>
              <w:pStyle w:val="BodyText"/>
              <w:spacing w:after="0"/>
              <w:jc w:val="center"/>
              <w:rPr>
                <w:sz w:val="22"/>
                <w:szCs w:val="22"/>
              </w:rPr>
            </w:pPr>
            <w:r w:rsidRPr="007E17A8">
              <w:rPr>
                <w:sz w:val="22"/>
                <w:szCs w:val="22"/>
              </w:rPr>
              <w:t>3.3</w:t>
            </w:r>
          </w:p>
        </w:tc>
        <w:tc>
          <w:tcPr>
            <w:tcW w:w="2226" w:type="dxa"/>
          </w:tcPr>
          <w:p w14:paraId="435CE56E" w14:textId="77777777" w:rsidR="00D634AD" w:rsidRPr="007E17A8" w:rsidRDefault="00D634AD" w:rsidP="004C29E4">
            <w:pPr>
              <w:pStyle w:val="BodyText"/>
              <w:spacing w:after="0"/>
              <w:rPr>
                <w:sz w:val="22"/>
                <w:szCs w:val="22"/>
              </w:rPr>
            </w:pPr>
          </w:p>
        </w:tc>
      </w:tr>
      <w:tr w:rsidR="00D634AD" w:rsidRPr="007E17A8" w14:paraId="431DFAF1" w14:textId="77777777" w:rsidTr="00BD4314">
        <w:trPr>
          <w:trHeight w:val="287"/>
        </w:trPr>
        <w:tc>
          <w:tcPr>
            <w:tcW w:w="2516" w:type="dxa"/>
          </w:tcPr>
          <w:p w14:paraId="251BA502" w14:textId="77777777" w:rsidR="00D634AD" w:rsidRPr="007E17A8" w:rsidRDefault="00D634AD" w:rsidP="004C29E4">
            <w:pPr>
              <w:pStyle w:val="BodyText"/>
              <w:spacing w:after="0"/>
              <w:ind w:firstLine="72"/>
              <w:rPr>
                <w:sz w:val="22"/>
                <w:szCs w:val="22"/>
              </w:rPr>
            </w:pPr>
            <w:r w:rsidRPr="007E17A8">
              <w:rPr>
                <w:sz w:val="22"/>
                <w:szCs w:val="22"/>
              </w:rPr>
              <w:t>60 to 64</w:t>
            </w:r>
          </w:p>
        </w:tc>
        <w:tc>
          <w:tcPr>
            <w:tcW w:w="971" w:type="dxa"/>
          </w:tcPr>
          <w:p w14:paraId="3095F4A6" w14:textId="77777777" w:rsidR="00D634AD" w:rsidRPr="007E17A8" w:rsidRDefault="00D634AD" w:rsidP="004C29E4">
            <w:pPr>
              <w:pStyle w:val="BodyText"/>
              <w:spacing w:after="0"/>
              <w:ind w:firstLine="72"/>
              <w:jc w:val="center"/>
              <w:rPr>
                <w:sz w:val="22"/>
                <w:szCs w:val="22"/>
              </w:rPr>
            </w:pPr>
            <w:r w:rsidRPr="007E17A8">
              <w:rPr>
                <w:sz w:val="22"/>
                <w:szCs w:val="22"/>
              </w:rPr>
              <w:t>B</w:t>
            </w:r>
          </w:p>
        </w:tc>
        <w:tc>
          <w:tcPr>
            <w:tcW w:w="1530" w:type="dxa"/>
          </w:tcPr>
          <w:p w14:paraId="03D7639E" w14:textId="77777777" w:rsidR="00D634AD" w:rsidRPr="007E17A8" w:rsidRDefault="00D634AD" w:rsidP="004C29E4">
            <w:pPr>
              <w:pStyle w:val="BodyText"/>
              <w:spacing w:after="0"/>
              <w:jc w:val="center"/>
              <w:rPr>
                <w:sz w:val="22"/>
                <w:szCs w:val="22"/>
              </w:rPr>
            </w:pPr>
            <w:r w:rsidRPr="007E17A8">
              <w:rPr>
                <w:sz w:val="22"/>
                <w:szCs w:val="22"/>
              </w:rPr>
              <w:t>3.0</w:t>
            </w:r>
          </w:p>
        </w:tc>
        <w:tc>
          <w:tcPr>
            <w:tcW w:w="2226" w:type="dxa"/>
          </w:tcPr>
          <w:p w14:paraId="791559AB" w14:textId="77777777" w:rsidR="00D634AD" w:rsidRPr="007E17A8" w:rsidRDefault="00D634AD" w:rsidP="004C29E4">
            <w:pPr>
              <w:pStyle w:val="BodyText"/>
              <w:spacing w:after="0"/>
              <w:rPr>
                <w:sz w:val="22"/>
                <w:szCs w:val="22"/>
              </w:rPr>
            </w:pPr>
            <w:r w:rsidRPr="007E17A8">
              <w:rPr>
                <w:sz w:val="22"/>
                <w:szCs w:val="22"/>
              </w:rPr>
              <w:t>Good</w:t>
            </w:r>
          </w:p>
        </w:tc>
      </w:tr>
      <w:tr w:rsidR="00D634AD" w:rsidRPr="007E17A8" w14:paraId="716F237E" w14:textId="77777777" w:rsidTr="00BD4314">
        <w:trPr>
          <w:trHeight w:val="242"/>
        </w:trPr>
        <w:tc>
          <w:tcPr>
            <w:tcW w:w="2516" w:type="dxa"/>
          </w:tcPr>
          <w:p w14:paraId="7030D946" w14:textId="77777777" w:rsidR="00D634AD" w:rsidRPr="007E17A8" w:rsidRDefault="00D634AD" w:rsidP="004C29E4">
            <w:pPr>
              <w:pStyle w:val="BodyText"/>
              <w:spacing w:after="0"/>
              <w:ind w:firstLine="72"/>
              <w:rPr>
                <w:sz w:val="22"/>
                <w:szCs w:val="22"/>
              </w:rPr>
            </w:pPr>
            <w:r w:rsidRPr="007E17A8">
              <w:rPr>
                <w:sz w:val="22"/>
                <w:szCs w:val="22"/>
              </w:rPr>
              <w:t>55 to 59</w:t>
            </w:r>
          </w:p>
        </w:tc>
        <w:tc>
          <w:tcPr>
            <w:tcW w:w="971" w:type="dxa"/>
          </w:tcPr>
          <w:p w14:paraId="1D0C3796" w14:textId="77777777" w:rsidR="00D634AD" w:rsidRPr="007E17A8" w:rsidRDefault="00D634AD" w:rsidP="004C29E4">
            <w:pPr>
              <w:pStyle w:val="BodyText"/>
              <w:spacing w:after="0"/>
              <w:ind w:firstLine="72"/>
              <w:jc w:val="center"/>
              <w:rPr>
                <w:sz w:val="22"/>
                <w:szCs w:val="22"/>
                <w:vertAlign w:val="superscript"/>
              </w:rPr>
            </w:pPr>
            <w:r w:rsidRPr="007E17A8">
              <w:rPr>
                <w:sz w:val="22"/>
                <w:szCs w:val="22"/>
              </w:rPr>
              <w:t>B-</w:t>
            </w:r>
          </w:p>
        </w:tc>
        <w:tc>
          <w:tcPr>
            <w:tcW w:w="1530" w:type="dxa"/>
          </w:tcPr>
          <w:p w14:paraId="78BD315B" w14:textId="77777777" w:rsidR="00D634AD" w:rsidRPr="007E17A8" w:rsidRDefault="00D634AD" w:rsidP="004C29E4">
            <w:pPr>
              <w:pStyle w:val="BodyText"/>
              <w:spacing w:after="0"/>
              <w:jc w:val="center"/>
              <w:rPr>
                <w:sz w:val="22"/>
                <w:szCs w:val="22"/>
              </w:rPr>
            </w:pPr>
            <w:r w:rsidRPr="007E17A8">
              <w:rPr>
                <w:sz w:val="22"/>
                <w:szCs w:val="22"/>
              </w:rPr>
              <w:t>2.7</w:t>
            </w:r>
          </w:p>
        </w:tc>
        <w:tc>
          <w:tcPr>
            <w:tcW w:w="2226" w:type="dxa"/>
          </w:tcPr>
          <w:p w14:paraId="0D1B7549" w14:textId="77777777" w:rsidR="00D634AD" w:rsidRPr="007E17A8" w:rsidRDefault="00D634AD" w:rsidP="004C29E4">
            <w:pPr>
              <w:pStyle w:val="BodyText"/>
              <w:spacing w:after="0"/>
              <w:rPr>
                <w:sz w:val="22"/>
                <w:szCs w:val="22"/>
              </w:rPr>
            </w:pPr>
          </w:p>
        </w:tc>
      </w:tr>
      <w:tr w:rsidR="00D634AD" w:rsidRPr="007E17A8" w14:paraId="435F9F19" w14:textId="77777777" w:rsidTr="00BD4314">
        <w:trPr>
          <w:trHeight w:val="215"/>
        </w:trPr>
        <w:tc>
          <w:tcPr>
            <w:tcW w:w="2516" w:type="dxa"/>
          </w:tcPr>
          <w:p w14:paraId="4FB19EE5" w14:textId="77777777" w:rsidR="00D634AD" w:rsidRPr="007E17A8" w:rsidRDefault="00D634AD" w:rsidP="004C29E4">
            <w:pPr>
              <w:pStyle w:val="BodyText"/>
              <w:spacing w:after="0"/>
              <w:ind w:firstLine="72"/>
              <w:rPr>
                <w:sz w:val="22"/>
                <w:szCs w:val="22"/>
              </w:rPr>
            </w:pPr>
            <w:r w:rsidRPr="007E17A8">
              <w:rPr>
                <w:sz w:val="22"/>
                <w:szCs w:val="22"/>
              </w:rPr>
              <w:t>50 to 54</w:t>
            </w:r>
          </w:p>
        </w:tc>
        <w:tc>
          <w:tcPr>
            <w:tcW w:w="971" w:type="dxa"/>
          </w:tcPr>
          <w:p w14:paraId="6C29966C" w14:textId="77777777" w:rsidR="00D634AD" w:rsidRPr="007E17A8" w:rsidRDefault="00D634AD" w:rsidP="004C29E4">
            <w:pPr>
              <w:pStyle w:val="BodyText"/>
              <w:spacing w:after="0"/>
              <w:ind w:firstLine="72"/>
              <w:jc w:val="center"/>
              <w:rPr>
                <w:sz w:val="22"/>
                <w:szCs w:val="22"/>
                <w:vertAlign w:val="superscript"/>
              </w:rPr>
            </w:pPr>
            <w:r w:rsidRPr="007E17A8">
              <w:rPr>
                <w:sz w:val="22"/>
                <w:szCs w:val="22"/>
              </w:rPr>
              <w:t>C+</w:t>
            </w:r>
          </w:p>
        </w:tc>
        <w:tc>
          <w:tcPr>
            <w:tcW w:w="1530" w:type="dxa"/>
          </w:tcPr>
          <w:p w14:paraId="127CA845" w14:textId="77777777" w:rsidR="00D634AD" w:rsidRPr="007E17A8" w:rsidRDefault="00D634AD" w:rsidP="004C29E4">
            <w:pPr>
              <w:pStyle w:val="BodyText"/>
              <w:spacing w:after="0"/>
              <w:jc w:val="center"/>
              <w:rPr>
                <w:sz w:val="22"/>
                <w:szCs w:val="22"/>
              </w:rPr>
            </w:pPr>
            <w:r w:rsidRPr="007E17A8">
              <w:rPr>
                <w:sz w:val="22"/>
                <w:szCs w:val="22"/>
              </w:rPr>
              <w:t>2.3</w:t>
            </w:r>
          </w:p>
        </w:tc>
        <w:tc>
          <w:tcPr>
            <w:tcW w:w="2226" w:type="dxa"/>
          </w:tcPr>
          <w:p w14:paraId="53501C6F" w14:textId="77777777" w:rsidR="00D634AD" w:rsidRPr="007E17A8" w:rsidRDefault="00D634AD" w:rsidP="004C29E4">
            <w:pPr>
              <w:pStyle w:val="BodyText"/>
              <w:spacing w:after="0"/>
              <w:rPr>
                <w:sz w:val="22"/>
                <w:szCs w:val="22"/>
                <w:vertAlign w:val="superscript"/>
              </w:rPr>
            </w:pPr>
            <w:r w:rsidRPr="007E17A8">
              <w:rPr>
                <w:sz w:val="22"/>
                <w:szCs w:val="22"/>
              </w:rPr>
              <w:t>Pass</w:t>
            </w:r>
          </w:p>
        </w:tc>
      </w:tr>
      <w:tr w:rsidR="00D634AD" w:rsidRPr="007E17A8" w14:paraId="3A9FDC35" w14:textId="77777777" w:rsidTr="00BD4314">
        <w:trPr>
          <w:trHeight w:val="242"/>
        </w:trPr>
        <w:tc>
          <w:tcPr>
            <w:tcW w:w="2516" w:type="dxa"/>
          </w:tcPr>
          <w:p w14:paraId="46675494" w14:textId="77777777" w:rsidR="00D634AD" w:rsidRPr="007E17A8" w:rsidRDefault="00D634AD" w:rsidP="004C29E4">
            <w:pPr>
              <w:pStyle w:val="BodyText"/>
              <w:spacing w:after="0"/>
              <w:ind w:firstLine="72"/>
              <w:rPr>
                <w:sz w:val="22"/>
                <w:szCs w:val="22"/>
              </w:rPr>
            </w:pPr>
          </w:p>
        </w:tc>
        <w:tc>
          <w:tcPr>
            <w:tcW w:w="971" w:type="dxa"/>
          </w:tcPr>
          <w:p w14:paraId="05248B16" w14:textId="77777777" w:rsidR="00D634AD" w:rsidRPr="007E17A8" w:rsidRDefault="00D634AD" w:rsidP="004C29E4">
            <w:pPr>
              <w:pStyle w:val="BodyText"/>
              <w:spacing w:after="0"/>
              <w:ind w:firstLine="72"/>
              <w:jc w:val="center"/>
              <w:rPr>
                <w:sz w:val="22"/>
                <w:szCs w:val="22"/>
              </w:rPr>
            </w:pPr>
            <w:r w:rsidRPr="007E17A8">
              <w:rPr>
                <w:sz w:val="22"/>
                <w:szCs w:val="22"/>
              </w:rPr>
              <w:t>I</w:t>
            </w:r>
          </w:p>
        </w:tc>
        <w:tc>
          <w:tcPr>
            <w:tcW w:w="1530" w:type="dxa"/>
          </w:tcPr>
          <w:p w14:paraId="65F86BE2" w14:textId="77777777" w:rsidR="00D634AD" w:rsidRPr="007E17A8" w:rsidRDefault="00D634AD" w:rsidP="004C29E4">
            <w:pPr>
              <w:pStyle w:val="BodyText"/>
              <w:spacing w:after="0"/>
              <w:jc w:val="center"/>
              <w:rPr>
                <w:sz w:val="22"/>
                <w:szCs w:val="22"/>
              </w:rPr>
            </w:pPr>
            <w:r w:rsidRPr="007E17A8">
              <w:rPr>
                <w:sz w:val="22"/>
                <w:szCs w:val="22"/>
              </w:rPr>
              <w:t>0.0</w:t>
            </w:r>
          </w:p>
        </w:tc>
        <w:tc>
          <w:tcPr>
            <w:tcW w:w="2226" w:type="dxa"/>
          </w:tcPr>
          <w:p w14:paraId="064FB358" w14:textId="77777777" w:rsidR="00D634AD" w:rsidRPr="007E17A8" w:rsidRDefault="00D634AD" w:rsidP="004C29E4">
            <w:pPr>
              <w:pStyle w:val="BodyText"/>
              <w:spacing w:after="0"/>
              <w:rPr>
                <w:sz w:val="22"/>
                <w:szCs w:val="22"/>
                <w:vertAlign w:val="superscript"/>
              </w:rPr>
            </w:pPr>
            <w:r w:rsidRPr="007E17A8">
              <w:rPr>
                <w:sz w:val="22"/>
                <w:szCs w:val="22"/>
              </w:rPr>
              <w:t xml:space="preserve">Incomplete </w:t>
            </w:r>
          </w:p>
        </w:tc>
      </w:tr>
      <w:tr w:rsidR="00D634AD" w:rsidRPr="007E17A8" w14:paraId="232A1052" w14:textId="77777777" w:rsidTr="00BD4314">
        <w:trPr>
          <w:trHeight w:val="260"/>
        </w:trPr>
        <w:tc>
          <w:tcPr>
            <w:tcW w:w="2516" w:type="dxa"/>
          </w:tcPr>
          <w:p w14:paraId="21CFC1A9" w14:textId="77777777" w:rsidR="00D634AD" w:rsidRPr="007E17A8" w:rsidRDefault="00D634AD" w:rsidP="004C29E4">
            <w:pPr>
              <w:pStyle w:val="BodyText"/>
              <w:spacing w:after="0"/>
              <w:ind w:firstLine="72"/>
              <w:rPr>
                <w:sz w:val="22"/>
                <w:szCs w:val="22"/>
              </w:rPr>
            </w:pPr>
          </w:p>
        </w:tc>
        <w:tc>
          <w:tcPr>
            <w:tcW w:w="971" w:type="dxa"/>
          </w:tcPr>
          <w:p w14:paraId="3A453328" w14:textId="77777777" w:rsidR="00D634AD" w:rsidRPr="007E17A8" w:rsidRDefault="00D634AD" w:rsidP="004C29E4">
            <w:pPr>
              <w:pStyle w:val="BodyText"/>
              <w:spacing w:after="0"/>
              <w:ind w:firstLine="72"/>
              <w:jc w:val="center"/>
              <w:rPr>
                <w:sz w:val="22"/>
                <w:szCs w:val="22"/>
              </w:rPr>
            </w:pPr>
            <w:r w:rsidRPr="007E17A8">
              <w:rPr>
                <w:sz w:val="22"/>
                <w:szCs w:val="22"/>
              </w:rPr>
              <w:t>F</w:t>
            </w:r>
          </w:p>
        </w:tc>
        <w:tc>
          <w:tcPr>
            <w:tcW w:w="1530" w:type="dxa"/>
          </w:tcPr>
          <w:p w14:paraId="0BC8594E" w14:textId="77777777" w:rsidR="00D634AD" w:rsidRPr="007E17A8" w:rsidRDefault="00D634AD" w:rsidP="004C29E4">
            <w:pPr>
              <w:pStyle w:val="BodyText"/>
              <w:spacing w:after="0"/>
              <w:jc w:val="center"/>
              <w:rPr>
                <w:sz w:val="22"/>
                <w:szCs w:val="22"/>
              </w:rPr>
            </w:pPr>
            <w:r w:rsidRPr="007E17A8">
              <w:rPr>
                <w:sz w:val="22"/>
                <w:szCs w:val="22"/>
              </w:rPr>
              <w:t>0.0</w:t>
            </w:r>
          </w:p>
        </w:tc>
        <w:tc>
          <w:tcPr>
            <w:tcW w:w="2226" w:type="dxa"/>
          </w:tcPr>
          <w:p w14:paraId="2016BBA9" w14:textId="77777777" w:rsidR="00D634AD" w:rsidRPr="007E17A8" w:rsidRDefault="00D634AD" w:rsidP="004C29E4">
            <w:pPr>
              <w:pStyle w:val="BodyText"/>
              <w:spacing w:after="0"/>
              <w:rPr>
                <w:sz w:val="22"/>
                <w:szCs w:val="22"/>
                <w:vertAlign w:val="superscript"/>
              </w:rPr>
            </w:pPr>
            <w:r w:rsidRPr="007E17A8">
              <w:rPr>
                <w:sz w:val="22"/>
                <w:szCs w:val="22"/>
              </w:rPr>
              <w:t>Fail</w:t>
            </w:r>
          </w:p>
        </w:tc>
      </w:tr>
      <w:tr w:rsidR="00D634AD" w:rsidRPr="007E17A8" w14:paraId="4D589A6D" w14:textId="77777777" w:rsidTr="00BD4314">
        <w:trPr>
          <w:trHeight w:val="260"/>
        </w:trPr>
        <w:tc>
          <w:tcPr>
            <w:tcW w:w="2516" w:type="dxa"/>
          </w:tcPr>
          <w:p w14:paraId="1FC0F009" w14:textId="77777777" w:rsidR="00D634AD" w:rsidRPr="007E17A8" w:rsidRDefault="00D634AD" w:rsidP="004C29E4">
            <w:pPr>
              <w:pStyle w:val="BodyText"/>
              <w:spacing w:after="0"/>
              <w:ind w:firstLine="72"/>
              <w:rPr>
                <w:sz w:val="22"/>
                <w:szCs w:val="22"/>
              </w:rPr>
            </w:pPr>
          </w:p>
        </w:tc>
        <w:tc>
          <w:tcPr>
            <w:tcW w:w="971" w:type="dxa"/>
          </w:tcPr>
          <w:p w14:paraId="47C53F5E" w14:textId="77777777" w:rsidR="00D634AD" w:rsidRPr="007E17A8" w:rsidRDefault="00D634AD" w:rsidP="004C29E4">
            <w:pPr>
              <w:pStyle w:val="BodyText"/>
              <w:spacing w:after="0"/>
              <w:ind w:firstLine="72"/>
              <w:jc w:val="center"/>
              <w:rPr>
                <w:sz w:val="22"/>
                <w:szCs w:val="22"/>
              </w:rPr>
            </w:pPr>
            <w:r w:rsidRPr="007E17A8">
              <w:rPr>
                <w:sz w:val="22"/>
                <w:szCs w:val="22"/>
              </w:rPr>
              <w:t>N</w:t>
            </w:r>
          </w:p>
        </w:tc>
        <w:tc>
          <w:tcPr>
            <w:tcW w:w="1530" w:type="dxa"/>
          </w:tcPr>
          <w:p w14:paraId="751CD887" w14:textId="77777777" w:rsidR="00D634AD" w:rsidRPr="007E17A8" w:rsidRDefault="00D634AD" w:rsidP="004C29E4">
            <w:pPr>
              <w:pStyle w:val="BodyText"/>
              <w:spacing w:after="0"/>
              <w:jc w:val="center"/>
              <w:rPr>
                <w:sz w:val="22"/>
                <w:szCs w:val="22"/>
              </w:rPr>
            </w:pPr>
            <w:r w:rsidRPr="007E17A8">
              <w:rPr>
                <w:sz w:val="22"/>
                <w:szCs w:val="22"/>
              </w:rPr>
              <w:t>---</w:t>
            </w:r>
          </w:p>
        </w:tc>
        <w:tc>
          <w:tcPr>
            <w:tcW w:w="2226" w:type="dxa"/>
          </w:tcPr>
          <w:p w14:paraId="6EABBC02" w14:textId="77777777" w:rsidR="00D634AD" w:rsidRPr="007E17A8" w:rsidRDefault="00D634AD" w:rsidP="004C29E4">
            <w:pPr>
              <w:pStyle w:val="BodyText"/>
              <w:spacing w:after="0"/>
              <w:rPr>
                <w:sz w:val="22"/>
                <w:szCs w:val="22"/>
                <w:vertAlign w:val="superscript"/>
              </w:rPr>
            </w:pPr>
            <w:r w:rsidRPr="007E17A8">
              <w:rPr>
                <w:sz w:val="22"/>
                <w:szCs w:val="22"/>
              </w:rPr>
              <w:t>Academic Concession</w:t>
            </w:r>
          </w:p>
        </w:tc>
      </w:tr>
    </w:tbl>
    <w:p w14:paraId="5B29319F" w14:textId="244594D6" w:rsidR="00D634AD" w:rsidRDefault="00D634AD" w:rsidP="00D634AD">
      <w:pPr>
        <w:ind w:left="900"/>
        <w:jc w:val="both"/>
        <w:rPr>
          <w:rFonts w:ascii="Times New Roman" w:hAnsi="Times New Roman"/>
        </w:rPr>
      </w:pPr>
    </w:p>
    <w:p w14:paraId="723FA828" w14:textId="45747CF9" w:rsidR="00D4346F" w:rsidRPr="00D4346F" w:rsidRDefault="00D4346F" w:rsidP="00D634AD">
      <w:pPr>
        <w:ind w:left="900"/>
        <w:jc w:val="both"/>
        <w:rPr>
          <w:rFonts w:ascii="Arial" w:hAnsi="Arial" w:cs="Arial"/>
          <w:sz w:val="24"/>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4346F">
        <w:rPr>
          <w:rFonts w:ascii="Arial" w:hAnsi="Arial" w:cs="Arial"/>
          <w:sz w:val="24"/>
          <w:szCs w:val="24"/>
        </w:rPr>
        <w:t>438</w:t>
      </w:r>
    </w:p>
    <w:p w14:paraId="56617B6D" w14:textId="77777777" w:rsidR="00D634AD" w:rsidRPr="007E17A8" w:rsidRDefault="00D634AD" w:rsidP="00D634AD">
      <w:pPr>
        <w:numPr>
          <w:ilvl w:val="1"/>
          <w:numId w:val="10"/>
        </w:numPr>
        <w:tabs>
          <w:tab w:val="num" w:pos="900"/>
        </w:tabs>
        <w:spacing w:after="120"/>
        <w:ind w:left="900" w:hanging="540"/>
        <w:jc w:val="both"/>
        <w:rPr>
          <w:rFonts w:ascii="Times New Roman" w:hAnsi="Times New Roman"/>
        </w:rPr>
      </w:pPr>
      <w:r w:rsidRPr="007E17A8">
        <w:rPr>
          <w:rFonts w:ascii="Times New Roman" w:hAnsi="Times New Roman"/>
          <w:noProof/>
          <w:lang w:bidi="si-LK"/>
        </w:rPr>
        <w:lastRenderedPageBreak/>
        <mc:AlternateContent>
          <mc:Choice Requires="wpc">
            <w:drawing>
              <wp:anchor distT="0" distB="0" distL="114300" distR="114300" simplePos="0" relativeHeight="251659264" behindDoc="0" locked="0" layoutInCell="1" allowOverlap="1" wp14:anchorId="3DA99C99" wp14:editId="2EE975AC">
                <wp:simplePos x="0" y="0"/>
                <wp:positionH relativeFrom="column">
                  <wp:posOffset>2084705</wp:posOffset>
                </wp:positionH>
                <wp:positionV relativeFrom="paragraph">
                  <wp:posOffset>522605</wp:posOffset>
                </wp:positionV>
                <wp:extent cx="1168400" cy="683895"/>
                <wp:effectExtent l="0" t="0" r="0" b="1905"/>
                <wp:wrapNone/>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wps:spPr bwMode="auto">
                          <a:xfrm>
                            <a:off x="565150" y="270510"/>
                            <a:ext cx="569595" cy="63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 name="Rectangle 5"/>
                        <wps:cNvSpPr>
                          <a:spLocks noChangeArrowheads="1"/>
                        </wps:cNvSpPr>
                        <wps:spPr bwMode="auto">
                          <a:xfrm>
                            <a:off x="704215" y="234950"/>
                            <a:ext cx="16319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40407" w14:textId="77777777" w:rsidR="00D634AD" w:rsidRDefault="00D634AD" w:rsidP="00D634AD">
                              <w:r>
                                <w:rPr>
                                  <w:rFonts w:ascii="Symbol" w:hAnsi="Symbol" w:cs="Symbol"/>
                                  <w:color w:val="000000"/>
                                  <w:sz w:val="36"/>
                                  <w:szCs w:val="36"/>
                                </w:rPr>
                                <w:t></w:t>
                              </w:r>
                            </w:p>
                          </w:txbxContent>
                        </wps:txbx>
                        <wps:bodyPr rot="0" vert="horz" wrap="none" lIns="0" tIns="0" rIns="0" bIns="0" anchor="t" anchorCtr="0" upright="1">
                          <a:spAutoFit/>
                        </wps:bodyPr>
                      </wps:wsp>
                      <wps:wsp>
                        <wps:cNvPr id="3" name="Rectangle 6"/>
                        <wps:cNvSpPr>
                          <a:spLocks noChangeArrowheads="1"/>
                        </wps:cNvSpPr>
                        <wps:spPr bwMode="auto">
                          <a:xfrm>
                            <a:off x="574040" y="0"/>
                            <a:ext cx="16319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E42CB" w14:textId="77777777" w:rsidR="00D634AD" w:rsidRDefault="00D634AD" w:rsidP="00D634AD">
                              <w:r>
                                <w:rPr>
                                  <w:rFonts w:ascii="Symbol" w:hAnsi="Symbol" w:cs="Symbol"/>
                                  <w:color w:val="000000"/>
                                  <w:sz w:val="36"/>
                                  <w:szCs w:val="36"/>
                                </w:rPr>
                                <w:t></w:t>
                              </w:r>
                            </w:p>
                          </w:txbxContent>
                        </wps:txbx>
                        <wps:bodyPr rot="0" vert="horz" wrap="none" lIns="0" tIns="0" rIns="0" bIns="0" anchor="t" anchorCtr="0" upright="1">
                          <a:spAutoFit/>
                        </wps:bodyPr>
                      </wps:wsp>
                      <wps:wsp>
                        <wps:cNvPr id="4" name="Rectangle 7"/>
                        <wps:cNvSpPr>
                          <a:spLocks noChangeArrowheads="1"/>
                        </wps:cNvSpPr>
                        <wps:spPr bwMode="auto">
                          <a:xfrm>
                            <a:off x="888365" y="41910"/>
                            <a:ext cx="768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F72F" w14:textId="77777777" w:rsidR="00D634AD" w:rsidRDefault="00D634AD" w:rsidP="00D634AD">
                              <w:r>
                                <w:rPr>
                                  <w:rFonts w:ascii="Symbol" w:hAnsi="Symbol" w:cs="Symbol"/>
                                  <w:color w:val="000000"/>
                                </w:rPr>
                                <w:t></w:t>
                              </w:r>
                            </w:p>
                          </w:txbxContent>
                        </wps:txbx>
                        <wps:bodyPr rot="0" vert="horz" wrap="none" lIns="0" tIns="0" rIns="0" bIns="0" anchor="t" anchorCtr="0" upright="1">
                          <a:spAutoFit/>
                        </wps:bodyPr>
                      </wps:wsp>
                      <wps:wsp>
                        <wps:cNvPr id="5" name="Rectangle 8"/>
                        <wps:cNvSpPr>
                          <a:spLocks noChangeArrowheads="1"/>
                        </wps:cNvSpPr>
                        <wps:spPr bwMode="auto">
                          <a:xfrm>
                            <a:off x="435610" y="155575"/>
                            <a:ext cx="768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B3CF6" w14:textId="77777777" w:rsidR="00D634AD" w:rsidRDefault="00D634AD" w:rsidP="00D634AD">
                              <w:r>
                                <w:rPr>
                                  <w:rFonts w:ascii="Symbol" w:hAnsi="Symbol" w:cs="Symbol"/>
                                  <w:color w:val="000000"/>
                                </w:rPr>
                                <w:t></w:t>
                              </w:r>
                            </w:p>
                          </w:txbxContent>
                        </wps:txbx>
                        <wps:bodyPr rot="0" vert="horz" wrap="none" lIns="0" tIns="0" rIns="0" bIns="0" anchor="t" anchorCtr="0" upright="1">
                          <a:spAutoFit/>
                        </wps:bodyPr>
                      </wps:wsp>
                      <wps:wsp>
                        <wps:cNvPr id="6" name="Rectangle 9"/>
                        <wps:cNvSpPr>
                          <a:spLocks noChangeArrowheads="1"/>
                        </wps:cNvSpPr>
                        <wps:spPr bwMode="auto">
                          <a:xfrm>
                            <a:off x="955675" y="387985"/>
                            <a:ext cx="419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9C6AB" w14:textId="77777777" w:rsidR="00D634AD" w:rsidRDefault="00D634AD" w:rsidP="00D634AD">
                              <w:r>
                                <w:rPr>
                                  <w:i/>
                                  <w:iCs/>
                                  <w:color w:val="000000"/>
                                  <w:sz w:val="14"/>
                                  <w:szCs w:val="14"/>
                                </w:rPr>
                                <w:t>i</w:t>
                              </w:r>
                            </w:p>
                          </w:txbxContent>
                        </wps:txbx>
                        <wps:bodyPr rot="0" vert="horz" wrap="none" lIns="0" tIns="0" rIns="0" bIns="0" anchor="t" anchorCtr="0" upright="1">
                          <a:spAutoFit/>
                        </wps:bodyPr>
                      </wps:wsp>
                      <wps:wsp>
                        <wps:cNvPr id="7" name="Rectangle 10"/>
                        <wps:cNvSpPr>
                          <a:spLocks noChangeArrowheads="1"/>
                        </wps:cNvSpPr>
                        <wps:spPr bwMode="auto">
                          <a:xfrm>
                            <a:off x="1085850" y="153670"/>
                            <a:ext cx="419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1CD8E" w14:textId="77777777" w:rsidR="00D634AD" w:rsidRDefault="00D634AD" w:rsidP="00D634AD">
                              <w:r>
                                <w:rPr>
                                  <w:i/>
                                  <w:iCs/>
                                  <w:color w:val="000000"/>
                                  <w:sz w:val="14"/>
                                  <w:szCs w:val="14"/>
                                </w:rPr>
                                <w:t>i</w:t>
                              </w:r>
                            </w:p>
                          </w:txbxContent>
                        </wps:txbx>
                        <wps:bodyPr rot="0" vert="horz" wrap="none" lIns="0" tIns="0" rIns="0" bIns="0" anchor="t" anchorCtr="0" upright="1">
                          <a:spAutoFit/>
                        </wps:bodyPr>
                      </wps:wsp>
                      <wps:wsp>
                        <wps:cNvPr id="8" name="Rectangle 11"/>
                        <wps:cNvSpPr>
                          <a:spLocks noChangeArrowheads="1"/>
                        </wps:cNvSpPr>
                        <wps:spPr bwMode="auto">
                          <a:xfrm>
                            <a:off x="826135" y="153670"/>
                            <a:ext cx="419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C5556" w14:textId="77777777" w:rsidR="00D634AD" w:rsidRDefault="00D634AD" w:rsidP="00D634AD">
                              <w:r>
                                <w:rPr>
                                  <w:i/>
                                  <w:iCs/>
                                  <w:color w:val="000000"/>
                                  <w:sz w:val="14"/>
                                  <w:szCs w:val="14"/>
                                </w:rPr>
                                <w:t>i</w:t>
                              </w:r>
                            </w:p>
                          </w:txbxContent>
                        </wps:txbx>
                        <wps:bodyPr rot="0" vert="horz" wrap="none" lIns="0" tIns="0" rIns="0" bIns="0" anchor="t" anchorCtr="0" upright="1">
                          <a:spAutoFit/>
                        </wps:bodyPr>
                      </wps:wsp>
                      <wps:wsp>
                        <wps:cNvPr id="9" name="Rectangle 12"/>
                        <wps:cNvSpPr>
                          <a:spLocks noChangeArrowheads="1"/>
                        </wps:cNvSpPr>
                        <wps:spPr bwMode="auto">
                          <a:xfrm>
                            <a:off x="884555" y="293370"/>
                            <a:ext cx="1054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F6BBB" w14:textId="77777777" w:rsidR="00D634AD" w:rsidRDefault="00D634AD" w:rsidP="00D634AD">
                              <w:r>
                                <w:rPr>
                                  <w:i/>
                                  <w:iCs/>
                                  <w:color w:val="000000"/>
                                </w:rPr>
                                <w:t>n</w:t>
                              </w:r>
                            </w:p>
                          </w:txbxContent>
                        </wps:txbx>
                        <wps:bodyPr rot="0" vert="horz" wrap="none" lIns="0" tIns="0" rIns="0" bIns="0" anchor="t" anchorCtr="0" upright="1">
                          <a:spAutoFit/>
                        </wps:bodyPr>
                      </wps:wsp>
                      <wps:wsp>
                        <wps:cNvPr id="10" name="Rectangle 13"/>
                        <wps:cNvSpPr>
                          <a:spLocks noChangeArrowheads="1"/>
                        </wps:cNvSpPr>
                        <wps:spPr bwMode="auto">
                          <a:xfrm>
                            <a:off x="1005205" y="59055"/>
                            <a:ext cx="1054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54138" w14:textId="77777777" w:rsidR="00D634AD" w:rsidRDefault="00D634AD" w:rsidP="00D634AD">
                              <w:r>
                                <w:rPr>
                                  <w:i/>
                                  <w:iCs/>
                                  <w:color w:val="000000"/>
                                </w:rPr>
                                <w:t>g</w:t>
                              </w:r>
                            </w:p>
                          </w:txbxContent>
                        </wps:txbx>
                        <wps:bodyPr rot="0" vert="horz" wrap="none" lIns="0" tIns="0" rIns="0" bIns="0" anchor="t" anchorCtr="0" upright="1">
                          <a:spAutoFit/>
                        </wps:bodyPr>
                      </wps:wsp>
                      <wps:wsp>
                        <wps:cNvPr id="11" name="Rectangle 14"/>
                        <wps:cNvSpPr>
                          <a:spLocks noChangeArrowheads="1"/>
                        </wps:cNvSpPr>
                        <wps:spPr bwMode="auto">
                          <a:xfrm>
                            <a:off x="754380" y="59055"/>
                            <a:ext cx="1054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DE709" w14:textId="77777777" w:rsidR="00D634AD" w:rsidRDefault="00D634AD" w:rsidP="00D634AD">
                              <w:r>
                                <w:rPr>
                                  <w:i/>
                                  <w:iCs/>
                                  <w:color w:val="000000"/>
                                </w:rPr>
                                <w:t>n</w:t>
                              </w:r>
                            </w:p>
                          </w:txbxContent>
                        </wps:txbx>
                        <wps:bodyPr rot="0" vert="horz" wrap="none" lIns="0" tIns="0" rIns="0" bIns="0" anchor="t" anchorCtr="0" upright="1">
                          <a:spAutoFit/>
                        </wps:bodyPr>
                      </wps:wsp>
                      <wps:wsp>
                        <wps:cNvPr id="12" name="Rectangle 15"/>
                        <wps:cNvSpPr>
                          <a:spLocks noChangeArrowheads="1"/>
                        </wps:cNvSpPr>
                        <wps:spPr bwMode="auto">
                          <a:xfrm>
                            <a:off x="25400" y="172720"/>
                            <a:ext cx="27495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420BD" w14:textId="77777777" w:rsidR="00D634AD" w:rsidRDefault="00D634AD" w:rsidP="00D634AD">
                              <w:r>
                                <w:rPr>
                                  <w:i/>
                                  <w:iCs/>
                                  <w:color w:val="000000"/>
                                </w:rPr>
                                <w:t>GPA</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DA99C99" id="Canvas 13" o:spid="_x0000_s1026" editas="canvas" style="position:absolute;left:0;text-align:left;margin-left:164.15pt;margin-top:41.15pt;width:92pt;height:53.85pt;z-index:251659264" coordsize="11684,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684;height:6838;visibility:visible;mso-wrap-style:square">
                  <v:fill o:detectmouseclick="t"/>
                  <v:path o:connecttype="none"/>
                </v:shape>
                <v:line id="Line 4" o:spid="_x0000_s1028" style="position:absolute;visibility:visible;mso-wrap-style:square" from="5651,2705" to="11347,2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Fd2MEAAADaAAAADwAAAGRycy9kb3ducmV2LnhtbERPO2vDMBDeC/kP4grdGrkZ2uBEDqUk&#10;1B1je/F2sc4PYp2MpCZufn0VKHQ6Pr7nbXezGcWFnB8sK3hZJiCIG6sH7hRU5eF5DcIHZI2jZVLw&#10;Qx522eJhi6m2Vz7SpQidiCHsU1TQhzClUvqmJ4N+aSfiyLXWGQwRuk5qh9cYbka5SpJXaXDg2NDj&#10;RB89Nefi2yi45eW+qvPP46m61eWXLbx7a9dKPT3O7xsQgebwL/5z5zrOh/sr9yu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MV3YwQAAANoAAAAPAAAAAAAAAAAAAAAA&#10;AKECAABkcnMvZG93bnJldi54bWxQSwUGAAAAAAQABAD5AAAAjwMAAAAA&#10;" strokeweight="28e-5mm"/>
                <v:rect id="Rectangle 5" o:spid="_x0000_s1029" style="position:absolute;left:7042;top:2349;width:1632;height:4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4D540407" w14:textId="77777777" w:rsidR="00D634AD" w:rsidRDefault="00D634AD" w:rsidP="00D634AD">
                        <w:r>
                          <w:rPr>
                            <w:rFonts w:ascii="Symbol" w:hAnsi="Symbol" w:cs="Symbol"/>
                            <w:color w:val="000000"/>
                            <w:sz w:val="36"/>
                            <w:szCs w:val="36"/>
                          </w:rPr>
                          <w:t></w:t>
                        </w:r>
                      </w:p>
                    </w:txbxContent>
                  </v:textbox>
                </v:rect>
                <v:rect id="Rectangle 6" o:spid="_x0000_s1030" style="position:absolute;left:5740;width:1632;height:4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37DE42CB" w14:textId="77777777" w:rsidR="00D634AD" w:rsidRDefault="00D634AD" w:rsidP="00D634AD">
                        <w:r>
                          <w:rPr>
                            <w:rFonts w:ascii="Symbol" w:hAnsi="Symbol" w:cs="Symbol"/>
                            <w:color w:val="000000"/>
                            <w:sz w:val="36"/>
                            <w:szCs w:val="36"/>
                          </w:rPr>
                          <w:t></w:t>
                        </w:r>
                      </w:p>
                    </w:txbxContent>
                  </v:textbox>
                </v:rect>
                <v:rect id="Rectangle 7" o:spid="_x0000_s1031" style="position:absolute;left:8883;top:419;width:769;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17A2F72F" w14:textId="77777777" w:rsidR="00D634AD" w:rsidRDefault="00D634AD" w:rsidP="00D634AD">
                        <w:r>
                          <w:rPr>
                            <w:rFonts w:ascii="Symbol" w:hAnsi="Symbol" w:cs="Symbol"/>
                            <w:color w:val="000000"/>
                          </w:rPr>
                          <w:t></w:t>
                        </w:r>
                      </w:p>
                    </w:txbxContent>
                  </v:textbox>
                </v:rect>
                <v:rect id="Rectangle 8" o:spid="_x0000_s1032" style="position:absolute;left:4356;top:1555;width:768;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0B8B3CF6" w14:textId="77777777" w:rsidR="00D634AD" w:rsidRDefault="00D634AD" w:rsidP="00D634AD">
                        <w:r>
                          <w:rPr>
                            <w:rFonts w:ascii="Symbol" w:hAnsi="Symbol" w:cs="Symbol"/>
                            <w:color w:val="000000"/>
                          </w:rPr>
                          <w:t></w:t>
                        </w:r>
                      </w:p>
                    </w:txbxContent>
                  </v:textbox>
                </v:rect>
                <v:rect id="Rectangle 9" o:spid="_x0000_s1033" style="position:absolute;left:9556;top:3879;width:41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7909C6AB" w14:textId="77777777" w:rsidR="00D634AD" w:rsidRDefault="00D634AD" w:rsidP="00D634AD">
                        <w:r>
                          <w:rPr>
                            <w:i/>
                            <w:iCs/>
                            <w:color w:val="000000"/>
                            <w:sz w:val="14"/>
                            <w:szCs w:val="14"/>
                          </w:rPr>
                          <w:t>i</w:t>
                        </w:r>
                      </w:p>
                    </w:txbxContent>
                  </v:textbox>
                </v:rect>
                <v:rect id="Rectangle 10" o:spid="_x0000_s1034" style="position:absolute;left:10858;top:1536;width:41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2EA1CD8E" w14:textId="77777777" w:rsidR="00D634AD" w:rsidRDefault="00D634AD" w:rsidP="00D634AD">
                        <w:r>
                          <w:rPr>
                            <w:i/>
                            <w:iCs/>
                            <w:color w:val="000000"/>
                            <w:sz w:val="14"/>
                            <w:szCs w:val="14"/>
                          </w:rPr>
                          <w:t>i</w:t>
                        </w:r>
                      </w:p>
                    </w:txbxContent>
                  </v:textbox>
                </v:rect>
                <v:rect id="Rectangle 11" o:spid="_x0000_s1035" style="position:absolute;left:8261;top:1536;width:41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095C5556" w14:textId="77777777" w:rsidR="00D634AD" w:rsidRDefault="00D634AD" w:rsidP="00D634AD">
                        <w:r>
                          <w:rPr>
                            <w:i/>
                            <w:iCs/>
                            <w:color w:val="000000"/>
                            <w:sz w:val="14"/>
                            <w:szCs w:val="14"/>
                          </w:rPr>
                          <w:t>i</w:t>
                        </w:r>
                      </w:p>
                    </w:txbxContent>
                  </v:textbox>
                </v:rect>
                <v:rect id="Rectangle 12" o:spid="_x0000_s1036" style="position:absolute;left:8845;top:2933;width:1054;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30AF6BBB" w14:textId="77777777" w:rsidR="00D634AD" w:rsidRDefault="00D634AD" w:rsidP="00D634AD">
                        <w:r>
                          <w:rPr>
                            <w:i/>
                            <w:iCs/>
                            <w:color w:val="000000"/>
                          </w:rPr>
                          <w:t>n</w:t>
                        </w:r>
                      </w:p>
                    </w:txbxContent>
                  </v:textbox>
                </v:rect>
                <v:rect id="Rectangle 13" o:spid="_x0000_s1037" style="position:absolute;left:10052;top:590;width:1054;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18454138" w14:textId="77777777" w:rsidR="00D634AD" w:rsidRDefault="00D634AD" w:rsidP="00D634AD">
                        <w:r>
                          <w:rPr>
                            <w:i/>
                            <w:iCs/>
                            <w:color w:val="000000"/>
                          </w:rPr>
                          <w:t>g</w:t>
                        </w:r>
                      </w:p>
                    </w:txbxContent>
                  </v:textbox>
                </v:rect>
                <v:rect id="Rectangle 14" o:spid="_x0000_s1038" style="position:absolute;left:7543;top:590;width:1054;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44FDE709" w14:textId="77777777" w:rsidR="00D634AD" w:rsidRDefault="00D634AD" w:rsidP="00D634AD">
                        <w:r>
                          <w:rPr>
                            <w:i/>
                            <w:iCs/>
                            <w:color w:val="000000"/>
                          </w:rPr>
                          <w:t>n</w:t>
                        </w:r>
                      </w:p>
                    </w:txbxContent>
                  </v:textbox>
                </v:rect>
                <v:rect id="Rectangle 15" o:spid="_x0000_s1039" style="position:absolute;left:254;top:1727;width:274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00B420BD" w14:textId="77777777" w:rsidR="00D634AD" w:rsidRDefault="00D634AD" w:rsidP="00D634AD">
                        <w:r>
                          <w:rPr>
                            <w:i/>
                            <w:iCs/>
                            <w:color w:val="000000"/>
                          </w:rPr>
                          <w:t>GPA</w:t>
                        </w:r>
                      </w:p>
                    </w:txbxContent>
                  </v:textbox>
                </v:rect>
              </v:group>
            </w:pict>
          </mc:Fallback>
        </mc:AlternateContent>
      </w:r>
      <w:r w:rsidRPr="007E17A8">
        <w:rPr>
          <w:rFonts w:ascii="Times New Roman" w:hAnsi="Times New Roman"/>
        </w:rPr>
        <w:t xml:space="preserve">The Grade Point Average (GPA) is calculated based on the summation of Grade Points earned for all modules registered for credit (except those awarded with academic concession or withdrawn) weighted according to number of credits, as follows.   </w:t>
      </w:r>
    </w:p>
    <w:p w14:paraId="74C8D631" w14:textId="77777777" w:rsidR="00D634AD" w:rsidRPr="007E17A8" w:rsidRDefault="00D634AD" w:rsidP="00D634AD">
      <w:pPr>
        <w:jc w:val="both"/>
        <w:rPr>
          <w:rFonts w:ascii="Times New Roman" w:hAnsi="Times New Roman"/>
        </w:rPr>
      </w:pPr>
    </w:p>
    <w:p w14:paraId="57CE0E96" w14:textId="77777777" w:rsidR="00D634AD" w:rsidRPr="007E17A8" w:rsidRDefault="00D634AD" w:rsidP="00D634AD">
      <w:pPr>
        <w:jc w:val="both"/>
        <w:rPr>
          <w:rFonts w:ascii="Times New Roman" w:hAnsi="Times New Roman"/>
        </w:rPr>
      </w:pPr>
      <w:r w:rsidRPr="007E17A8">
        <w:rPr>
          <w:rFonts w:ascii="Times New Roman" w:hAnsi="Times New Roman"/>
        </w:rPr>
        <w:t xml:space="preserve"> </w:t>
      </w:r>
    </w:p>
    <w:p w14:paraId="171262D7" w14:textId="77777777" w:rsidR="007D66F3" w:rsidRPr="007E17A8" w:rsidRDefault="00D634AD" w:rsidP="00C95D8F">
      <w:pPr>
        <w:ind w:left="907"/>
        <w:jc w:val="both"/>
        <w:rPr>
          <w:rFonts w:ascii="Times New Roman" w:hAnsi="Times New Roman"/>
        </w:rPr>
      </w:pPr>
      <w:r w:rsidRPr="007E17A8">
        <w:rPr>
          <w:rFonts w:ascii="Times New Roman" w:hAnsi="Times New Roman"/>
        </w:rPr>
        <w:t xml:space="preserve">where </w:t>
      </w:r>
      <w:r w:rsidRPr="007E17A8">
        <w:rPr>
          <w:rFonts w:ascii="Times New Roman" w:hAnsi="Times New Roman"/>
          <w:i/>
        </w:rPr>
        <w:t>n</w:t>
      </w:r>
      <w:r w:rsidRPr="007E17A8">
        <w:rPr>
          <w:rFonts w:ascii="Times New Roman" w:hAnsi="Times New Roman"/>
          <w:vertAlign w:val="subscript"/>
        </w:rPr>
        <w:t xml:space="preserve">i </w:t>
      </w:r>
      <w:r w:rsidRPr="007E17A8">
        <w:rPr>
          <w:rFonts w:ascii="Times New Roman" w:hAnsi="Times New Roman"/>
        </w:rPr>
        <w:t xml:space="preserve">is the number of credits for the </w:t>
      </w:r>
      <w:r w:rsidRPr="007E17A8">
        <w:rPr>
          <w:rFonts w:ascii="Times New Roman" w:hAnsi="Times New Roman"/>
          <w:i/>
        </w:rPr>
        <w:t>i</w:t>
      </w:r>
      <w:r w:rsidRPr="007E17A8">
        <w:rPr>
          <w:rFonts w:ascii="Times New Roman" w:hAnsi="Times New Roman"/>
          <w:vertAlign w:val="superscript"/>
        </w:rPr>
        <w:t>th</w:t>
      </w:r>
      <w:r w:rsidRPr="007E17A8">
        <w:rPr>
          <w:rFonts w:ascii="Times New Roman" w:hAnsi="Times New Roman"/>
        </w:rPr>
        <w:t xml:space="preserve"> module and </w:t>
      </w:r>
      <w:r w:rsidRPr="007E17A8">
        <w:rPr>
          <w:rFonts w:ascii="Times New Roman" w:hAnsi="Times New Roman"/>
          <w:i/>
        </w:rPr>
        <w:t>g</w:t>
      </w:r>
      <w:r w:rsidRPr="007E17A8">
        <w:rPr>
          <w:rFonts w:ascii="Times New Roman" w:hAnsi="Times New Roman"/>
          <w:vertAlign w:val="subscript"/>
        </w:rPr>
        <w:t>i</w:t>
      </w:r>
      <w:r w:rsidRPr="007E17A8">
        <w:rPr>
          <w:rFonts w:ascii="Times New Roman" w:hAnsi="Times New Roman"/>
        </w:rPr>
        <w:t xml:space="preserve"> is the grade points earned for that module.</w:t>
      </w:r>
    </w:p>
    <w:p w14:paraId="37669D7C" w14:textId="77777777" w:rsidR="007E17A8" w:rsidRPr="00C95D8F" w:rsidRDefault="00D634AD" w:rsidP="00C95D8F">
      <w:pPr>
        <w:numPr>
          <w:ilvl w:val="1"/>
          <w:numId w:val="10"/>
        </w:numPr>
        <w:tabs>
          <w:tab w:val="num" w:pos="900"/>
        </w:tabs>
        <w:spacing w:after="120"/>
        <w:ind w:left="900" w:hanging="540"/>
        <w:jc w:val="both"/>
        <w:rPr>
          <w:rFonts w:ascii="Times New Roman" w:hAnsi="Times New Roman"/>
        </w:rPr>
      </w:pPr>
      <w:r w:rsidRPr="007E17A8">
        <w:rPr>
          <w:rFonts w:ascii="Times New Roman" w:hAnsi="Times New Roman"/>
        </w:rPr>
        <w:t>The GPA is rounded to the nearest second decimal place and reported on the transcript.</w:t>
      </w:r>
    </w:p>
    <w:p w14:paraId="3EAD33F3" w14:textId="01932BAF" w:rsidR="00437248" w:rsidRDefault="00437248" w:rsidP="007D66F3">
      <w:pPr>
        <w:numPr>
          <w:ilvl w:val="1"/>
          <w:numId w:val="10"/>
        </w:numPr>
        <w:shd w:val="clear" w:color="auto" w:fill="FFFFFF" w:themeFill="background1"/>
        <w:tabs>
          <w:tab w:val="num" w:pos="900"/>
        </w:tabs>
        <w:spacing w:after="120"/>
        <w:ind w:left="900" w:hanging="540"/>
        <w:jc w:val="both"/>
        <w:rPr>
          <w:rFonts w:ascii="Times New Roman" w:hAnsi="Times New Roman"/>
        </w:rPr>
      </w:pPr>
      <w:r w:rsidRPr="007534E7">
        <w:rPr>
          <w:rFonts w:ascii="Times New Roman" w:hAnsi="Times New Roman"/>
        </w:rPr>
        <w:t xml:space="preserve">The candidates should have obtained at least </w:t>
      </w:r>
      <w:r>
        <w:rPr>
          <w:rFonts w:ascii="Times New Roman" w:hAnsi="Times New Roman"/>
        </w:rPr>
        <w:t xml:space="preserve">a </w:t>
      </w:r>
      <w:r w:rsidRPr="007534E7">
        <w:rPr>
          <w:rFonts w:ascii="Times New Roman" w:hAnsi="Times New Roman"/>
        </w:rPr>
        <w:t xml:space="preserve">Grade </w:t>
      </w:r>
      <w:r>
        <w:rPr>
          <w:rFonts w:ascii="Times New Roman" w:hAnsi="Times New Roman"/>
        </w:rPr>
        <w:t>“C</w:t>
      </w:r>
      <w:r w:rsidRPr="007534E7">
        <w:rPr>
          <w:rFonts w:ascii="Times New Roman" w:hAnsi="Times New Roman"/>
        </w:rPr>
        <w:t>+</w:t>
      </w:r>
      <w:r>
        <w:rPr>
          <w:rFonts w:ascii="Times New Roman" w:hAnsi="Times New Roman"/>
        </w:rPr>
        <w:t xml:space="preserve"> ”</w:t>
      </w:r>
      <w:r w:rsidRPr="007534E7">
        <w:rPr>
          <w:rFonts w:ascii="Times New Roman" w:hAnsi="Times New Roman"/>
        </w:rPr>
        <w:t xml:space="preserve"> </w:t>
      </w:r>
      <w:r>
        <w:rPr>
          <w:rFonts w:ascii="Times New Roman" w:hAnsi="Times New Roman"/>
        </w:rPr>
        <w:t>(</w:t>
      </w:r>
      <w:r w:rsidRPr="007534E7">
        <w:rPr>
          <w:rFonts w:ascii="Times New Roman" w:hAnsi="Times New Roman"/>
        </w:rPr>
        <w:t>Pass</w:t>
      </w:r>
      <w:r>
        <w:rPr>
          <w:rFonts w:ascii="Times New Roman" w:hAnsi="Times New Roman"/>
        </w:rPr>
        <w:t>)</w:t>
      </w:r>
      <w:r w:rsidRPr="007534E7">
        <w:rPr>
          <w:rFonts w:ascii="Times New Roman" w:hAnsi="Times New Roman"/>
        </w:rPr>
        <w:t xml:space="preserve"> for unit </w:t>
      </w:r>
      <w:r>
        <w:rPr>
          <w:rFonts w:ascii="Times New Roman" w:hAnsi="Times New Roman"/>
        </w:rPr>
        <w:t>“</w:t>
      </w:r>
      <w:r w:rsidRPr="007534E7">
        <w:rPr>
          <w:rFonts w:ascii="Times New Roman" w:hAnsi="Times New Roman"/>
        </w:rPr>
        <w:t>Research Methods for Planners</w:t>
      </w:r>
      <w:r>
        <w:rPr>
          <w:rFonts w:ascii="Times New Roman" w:hAnsi="Times New Roman"/>
        </w:rPr>
        <w:t>” (</w:t>
      </w:r>
      <w:r w:rsidRPr="007534E7">
        <w:rPr>
          <w:rFonts w:ascii="Times New Roman" w:hAnsi="Times New Roman"/>
        </w:rPr>
        <w:t>PU 5303</w:t>
      </w:r>
      <w:r>
        <w:rPr>
          <w:rFonts w:ascii="Times New Roman" w:hAnsi="Times New Roman"/>
        </w:rPr>
        <w:t>)</w:t>
      </w:r>
      <w:r w:rsidRPr="007534E7">
        <w:rPr>
          <w:rFonts w:ascii="Times New Roman" w:hAnsi="Times New Roman"/>
        </w:rPr>
        <w:t xml:space="preserve">, to </w:t>
      </w:r>
      <w:r>
        <w:rPr>
          <w:rFonts w:ascii="Times New Roman" w:hAnsi="Times New Roman"/>
        </w:rPr>
        <w:t>be eligible to register for</w:t>
      </w:r>
      <w:r w:rsidRPr="007534E7">
        <w:rPr>
          <w:rFonts w:ascii="Times New Roman" w:hAnsi="Times New Roman"/>
        </w:rPr>
        <w:t xml:space="preserve"> the unit </w:t>
      </w:r>
      <w:r>
        <w:rPr>
          <w:rFonts w:ascii="Times New Roman" w:hAnsi="Times New Roman"/>
        </w:rPr>
        <w:t>“</w:t>
      </w:r>
      <w:r w:rsidRPr="007534E7">
        <w:rPr>
          <w:rFonts w:ascii="Times New Roman" w:hAnsi="Times New Roman"/>
        </w:rPr>
        <w:t>Master Thesis</w:t>
      </w:r>
      <w:r>
        <w:rPr>
          <w:rFonts w:ascii="Times New Roman" w:hAnsi="Times New Roman"/>
        </w:rPr>
        <w:t>”</w:t>
      </w:r>
      <w:r w:rsidRPr="007534E7">
        <w:rPr>
          <w:rFonts w:ascii="Times New Roman" w:hAnsi="Times New Roman"/>
        </w:rPr>
        <w:t xml:space="preserve"> </w:t>
      </w:r>
      <w:r>
        <w:rPr>
          <w:rFonts w:ascii="Times New Roman" w:hAnsi="Times New Roman"/>
        </w:rPr>
        <w:t>(</w:t>
      </w:r>
      <w:r w:rsidRPr="007534E7">
        <w:rPr>
          <w:rFonts w:ascii="Times New Roman" w:hAnsi="Times New Roman"/>
        </w:rPr>
        <w:t>PU 5400</w:t>
      </w:r>
      <w:r>
        <w:rPr>
          <w:rFonts w:ascii="Times New Roman" w:hAnsi="Times New Roman"/>
        </w:rPr>
        <w:t>)</w:t>
      </w:r>
      <w:r w:rsidRPr="007534E7">
        <w:rPr>
          <w:rFonts w:ascii="Times New Roman" w:hAnsi="Times New Roman"/>
        </w:rPr>
        <w:t>.</w:t>
      </w:r>
    </w:p>
    <w:p w14:paraId="35713032" w14:textId="77777777" w:rsidR="00D634AD" w:rsidRPr="007E17A8" w:rsidRDefault="00D634AD" w:rsidP="00D634AD">
      <w:pPr>
        <w:numPr>
          <w:ilvl w:val="0"/>
          <w:numId w:val="10"/>
        </w:numPr>
        <w:spacing w:before="240" w:after="120"/>
        <w:jc w:val="both"/>
        <w:rPr>
          <w:rFonts w:ascii="Times New Roman" w:hAnsi="Times New Roman"/>
          <w:b/>
        </w:rPr>
      </w:pPr>
      <w:r w:rsidRPr="007E17A8">
        <w:rPr>
          <w:rFonts w:ascii="Times New Roman" w:hAnsi="Times New Roman"/>
          <w:b/>
        </w:rPr>
        <w:t>Academic Concession</w:t>
      </w:r>
    </w:p>
    <w:p w14:paraId="5252AF0E" w14:textId="77777777" w:rsidR="00D634AD" w:rsidRPr="007E17A8" w:rsidRDefault="00D634AD" w:rsidP="00D634AD">
      <w:pPr>
        <w:numPr>
          <w:ilvl w:val="1"/>
          <w:numId w:val="10"/>
        </w:numPr>
        <w:spacing w:after="120"/>
        <w:ind w:left="720" w:hanging="630"/>
        <w:jc w:val="both"/>
        <w:rPr>
          <w:rFonts w:ascii="Times New Roman" w:hAnsi="Times New Roman"/>
        </w:rPr>
      </w:pPr>
      <w:r w:rsidRPr="007E17A8">
        <w:rPr>
          <w:rFonts w:ascii="Times New Roman" w:hAnsi="Times New Roman"/>
        </w:rPr>
        <w:t>A student who has missed a WE or any other course requirements because of illness or other compelling reason may appeal with supporting documents to the Director Postgraduate Studies through the Head of Department for an Academic Concession. In case of an examination, the student should submit an application with supporting documents within two weeks from the date of an examination. In instances where a student misses any other course activity such as CA, the student should submit the application with supporting documents before the last date of academic activities of the relevant semester or term.</w:t>
      </w:r>
    </w:p>
    <w:p w14:paraId="4912821A" w14:textId="77777777" w:rsidR="00D634AD" w:rsidRDefault="00D634AD" w:rsidP="00D634AD">
      <w:pPr>
        <w:numPr>
          <w:ilvl w:val="1"/>
          <w:numId w:val="10"/>
        </w:numPr>
        <w:spacing w:after="120"/>
        <w:ind w:left="720" w:hanging="720"/>
        <w:jc w:val="both"/>
        <w:rPr>
          <w:rFonts w:ascii="Times New Roman" w:hAnsi="Times New Roman"/>
        </w:rPr>
      </w:pPr>
      <w:r w:rsidRPr="007E17A8">
        <w:rPr>
          <w:rFonts w:ascii="Times New Roman" w:hAnsi="Times New Roman"/>
        </w:rPr>
        <w:t>An Academic Concession may be granted for medical reasons and other exceptional circumstances subject to the approval by the Senate of the University.</w:t>
      </w:r>
    </w:p>
    <w:p w14:paraId="66160D5D" w14:textId="77777777" w:rsidR="007E3F0F" w:rsidRPr="007E17A8" w:rsidRDefault="007E3F0F" w:rsidP="007E3F0F">
      <w:pPr>
        <w:spacing w:after="120"/>
        <w:ind w:left="720"/>
        <w:jc w:val="both"/>
        <w:rPr>
          <w:rFonts w:ascii="Times New Roman" w:hAnsi="Times New Roman"/>
        </w:rPr>
      </w:pPr>
    </w:p>
    <w:p w14:paraId="770B9487" w14:textId="77777777" w:rsidR="00D634AD" w:rsidRPr="007E17A8" w:rsidRDefault="00D634AD" w:rsidP="00D634AD">
      <w:pPr>
        <w:numPr>
          <w:ilvl w:val="0"/>
          <w:numId w:val="10"/>
        </w:numPr>
        <w:spacing w:before="240" w:after="120"/>
        <w:jc w:val="both"/>
        <w:rPr>
          <w:rFonts w:ascii="Times New Roman" w:hAnsi="Times New Roman"/>
          <w:b/>
        </w:rPr>
      </w:pPr>
      <w:r w:rsidRPr="007E17A8">
        <w:rPr>
          <w:rFonts w:ascii="Times New Roman" w:hAnsi="Times New Roman"/>
          <w:b/>
        </w:rPr>
        <w:t>Graduation Requirements</w:t>
      </w:r>
    </w:p>
    <w:p w14:paraId="124E06E4" w14:textId="77777777" w:rsidR="00D634AD" w:rsidRPr="007E17A8" w:rsidRDefault="00D634AD" w:rsidP="00C73896">
      <w:pPr>
        <w:numPr>
          <w:ilvl w:val="1"/>
          <w:numId w:val="10"/>
        </w:numPr>
        <w:spacing w:after="60"/>
        <w:ind w:hanging="180"/>
        <w:jc w:val="both"/>
        <w:rPr>
          <w:rFonts w:ascii="Times New Roman" w:hAnsi="Times New Roman"/>
        </w:rPr>
      </w:pPr>
      <w:r w:rsidRPr="007E17A8">
        <w:rPr>
          <w:rFonts w:ascii="Times New Roman" w:hAnsi="Times New Roman"/>
        </w:rPr>
        <w:t xml:space="preserve">A candidate is deemed to have passed the Master’s Degree if candidate has successfully completed at least 60 credits including: </w:t>
      </w:r>
      <w:r w:rsidRPr="007E17A8">
        <w:rPr>
          <w:rFonts w:ascii="Times New Roman" w:hAnsi="Times New Roman"/>
        </w:rPr>
        <w:tab/>
      </w:r>
      <w:r w:rsidRPr="007E17A8">
        <w:rPr>
          <w:rFonts w:ascii="Times New Roman" w:hAnsi="Times New Roman"/>
        </w:rPr>
        <w:tab/>
      </w:r>
      <w:r w:rsidRPr="007E17A8">
        <w:rPr>
          <w:rFonts w:ascii="Times New Roman" w:hAnsi="Times New Roman"/>
        </w:rPr>
        <w:tab/>
      </w:r>
    </w:p>
    <w:p w14:paraId="566B1871" w14:textId="77777777" w:rsidR="00D634AD" w:rsidRPr="007E17A8" w:rsidRDefault="00D634AD" w:rsidP="00C73896">
      <w:pPr>
        <w:tabs>
          <w:tab w:val="left" w:pos="900"/>
          <w:tab w:val="left" w:pos="1260"/>
        </w:tabs>
        <w:ind w:left="360" w:hanging="180"/>
        <w:jc w:val="both"/>
        <w:rPr>
          <w:rFonts w:ascii="Times New Roman" w:hAnsi="Times New Roman"/>
        </w:rPr>
      </w:pPr>
      <w:r w:rsidRPr="007E17A8">
        <w:rPr>
          <w:rFonts w:ascii="Times New Roman" w:hAnsi="Times New Roman"/>
        </w:rPr>
        <w:tab/>
        <w:t>a)</w:t>
      </w:r>
      <w:r w:rsidRPr="007E17A8">
        <w:rPr>
          <w:rFonts w:ascii="Times New Roman" w:hAnsi="Times New Roman"/>
        </w:rPr>
        <w:tab/>
        <w:t xml:space="preserve">subjects specified under clause 4.2.1(a) of the Bylaw; </w:t>
      </w:r>
    </w:p>
    <w:p w14:paraId="6595890E" w14:textId="77777777" w:rsidR="00D634AD" w:rsidRPr="007E17A8" w:rsidRDefault="00D634AD" w:rsidP="00C73896">
      <w:pPr>
        <w:tabs>
          <w:tab w:val="left" w:pos="900"/>
          <w:tab w:val="left" w:pos="1260"/>
        </w:tabs>
        <w:ind w:left="360" w:hanging="180"/>
        <w:jc w:val="both"/>
        <w:rPr>
          <w:rFonts w:ascii="Times New Roman" w:hAnsi="Times New Roman"/>
        </w:rPr>
      </w:pPr>
      <w:r w:rsidRPr="007E17A8">
        <w:rPr>
          <w:rFonts w:ascii="Times New Roman" w:hAnsi="Times New Roman"/>
        </w:rPr>
        <w:tab/>
        <w:t>b)</w:t>
      </w:r>
      <w:r w:rsidRPr="007E17A8">
        <w:rPr>
          <w:rFonts w:ascii="Times New Roman" w:hAnsi="Times New Roman"/>
        </w:rPr>
        <w:tab/>
        <w:t>seminars specified under 4.2.1 (b) of the Bylaw;</w:t>
      </w:r>
    </w:p>
    <w:p w14:paraId="34B7CE68" w14:textId="77777777" w:rsidR="00D634AD" w:rsidRPr="007E17A8" w:rsidRDefault="00D634AD" w:rsidP="00C73896">
      <w:pPr>
        <w:tabs>
          <w:tab w:val="left" w:pos="900"/>
          <w:tab w:val="left" w:pos="1260"/>
        </w:tabs>
        <w:ind w:left="360" w:hanging="180"/>
        <w:jc w:val="both"/>
        <w:rPr>
          <w:rFonts w:ascii="Times New Roman" w:hAnsi="Times New Roman"/>
        </w:rPr>
      </w:pPr>
      <w:r w:rsidRPr="007E17A8">
        <w:rPr>
          <w:rFonts w:ascii="Times New Roman" w:hAnsi="Times New Roman"/>
        </w:rPr>
        <w:tab/>
        <w:t>c)</w:t>
      </w:r>
      <w:r w:rsidRPr="007E17A8">
        <w:rPr>
          <w:rFonts w:ascii="Times New Roman" w:hAnsi="Times New Roman"/>
        </w:rPr>
        <w:tab/>
        <w:t xml:space="preserve">assignments specified under 4.2.1 (c) of the Bylaw; and  </w:t>
      </w:r>
    </w:p>
    <w:p w14:paraId="0A7629FA" w14:textId="77777777" w:rsidR="00D634AD" w:rsidRPr="007E17A8" w:rsidRDefault="00D634AD" w:rsidP="00C73896">
      <w:pPr>
        <w:tabs>
          <w:tab w:val="left" w:pos="900"/>
          <w:tab w:val="left" w:pos="1260"/>
        </w:tabs>
        <w:ind w:left="360" w:hanging="180"/>
        <w:jc w:val="both"/>
        <w:rPr>
          <w:rFonts w:ascii="Times New Roman" w:hAnsi="Times New Roman"/>
        </w:rPr>
      </w:pPr>
      <w:r w:rsidRPr="007E17A8">
        <w:rPr>
          <w:rFonts w:ascii="Times New Roman" w:hAnsi="Times New Roman"/>
        </w:rPr>
        <w:tab/>
        <w:t>d)</w:t>
      </w:r>
      <w:r w:rsidRPr="007E17A8">
        <w:rPr>
          <w:rFonts w:ascii="Times New Roman" w:hAnsi="Times New Roman"/>
        </w:rPr>
        <w:tab/>
        <w:t xml:space="preserve">the research investigation specified under 4.2.1(d) of the Bylaw.  </w:t>
      </w:r>
    </w:p>
    <w:p w14:paraId="72350627" w14:textId="77777777" w:rsidR="00D634AD" w:rsidRPr="007E17A8" w:rsidRDefault="00D634AD" w:rsidP="00C73896">
      <w:pPr>
        <w:tabs>
          <w:tab w:val="left" w:pos="900"/>
          <w:tab w:val="left" w:pos="1260"/>
        </w:tabs>
        <w:ind w:left="360" w:hanging="180"/>
        <w:jc w:val="both"/>
        <w:rPr>
          <w:rFonts w:ascii="Times New Roman" w:hAnsi="Times New Roman"/>
        </w:rPr>
      </w:pPr>
    </w:p>
    <w:p w14:paraId="7739F80E" w14:textId="77777777" w:rsidR="00D634AD" w:rsidRPr="007E17A8" w:rsidRDefault="00D634AD" w:rsidP="00C73896">
      <w:pPr>
        <w:numPr>
          <w:ilvl w:val="1"/>
          <w:numId w:val="10"/>
        </w:numPr>
        <w:spacing w:after="120"/>
        <w:ind w:hanging="180"/>
        <w:jc w:val="both"/>
        <w:rPr>
          <w:rFonts w:ascii="Times New Roman" w:hAnsi="Times New Roman"/>
        </w:rPr>
      </w:pPr>
      <w:r w:rsidRPr="007E17A8">
        <w:rPr>
          <w:rFonts w:ascii="Times New Roman" w:hAnsi="Times New Roman"/>
        </w:rPr>
        <w:t xml:space="preserve">If the student is unsuccessful in any of the parts of 6.1 the student may be re-examined. </w:t>
      </w:r>
    </w:p>
    <w:p w14:paraId="05EE34E4" w14:textId="77777777" w:rsidR="00D634AD" w:rsidRPr="007E17A8" w:rsidRDefault="00D634AD" w:rsidP="00C73896">
      <w:pPr>
        <w:numPr>
          <w:ilvl w:val="1"/>
          <w:numId w:val="10"/>
        </w:numPr>
        <w:spacing w:after="120"/>
        <w:ind w:hanging="180"/>
        <w:jc w:val="both"/>
        <w:rPr>
          <w:rFonts w:ascii="Times New Roman" w:hAnsi="Times New Roman"/>
        </w:rPr>
      </w:pPr>
      <w:r w:rsidRPr="007E17A8">
        <w:rPr>
          <w:rFonts w:ascii="Times New Roman" w:hAnsi="Times New Roman"/>
        </w:rPr>
        <w:t xml:space="preserve">Classes will not be awarded. </w:t>
      </w:r>
    </w:p>
    <w:p w14:paraId="1E6FAF6D" w14:textId="198BCAB6" w:rsidR="00D634AD" w:rsidRDefault="00D634AD">
      <w:pPr>
        <w:rPr>
          <w:rFonts w:ascii="Times New Roman" w:hAnsi="Times New Roman"/>
        </w:rPr>
      </w:pPr>
    </w:p>
    <w:p w14:paraId="22EC553A" w14:textId="46672394" w:rsidR="00D4346F" w:rsidRDefault="00D4346F">
      <w:pPr>
        <w:rPr>
          <w:rFonts w:ascii="Times New Roman" w:hAnsi="Times New Roman"/>
        </w:rPr>
      </w:pPr>
    </w:p>
    <w:p w14:paraId="7DCCB190" w14:textId="2DC1D571" w:rsidR="00D4346F" w:rsidRDefault="00D4346F">
      <w:pPr>
        <w:rPr>
          <w:rFonts w:ascii="Times New Roman" w:hAnsi="Times New Roman"/>
        </w:rPr>
      </w:pPr>
    </w:p>
    <w:p w14:paraId="00261224" w14:textId="065DEF10" w:rsidR="00D4346F" w:rsidRDefault="00D4346F">
      <w:pPr>
        <w:rPr>
          <w:rFonts w:ascii="Times New Roman" w:hAnsi="Times New Roman"/>
        </w:rPr>
      </w:pPr>
    </w:p>
    <w:p w14:paraId="76775BE5" w14:textId="7A668B75" w:rsidR="00D4346F" w:rsidRPr="00D4346F" w:rsidRDefault="00D4346F" w:rsidP="00D4346F">
      <w:pPr>
        <w:ind w:left="4320"/>
        <w:rPr>
          <w:rFonts w:ascii="Arial" w:hAnsi="Arial" w:cs="Arial"/>
          <w:sz w:val="24"/>
          <w:szCs w:val="24"/>
        </w:rPr>
      </w:pPr>
      <w:r w:rsidRPr="00D4346F">
        <w:rPr>
          <w:rFonts w:ascii="Arial" w:hAnsi="Arial" w:cs="Arial"/>
          <w:sz w:val="24"/>
          <w:szCs w:val="24"/>
        </w:rPr>
        <w:t>439</w:t>
      </w:r>
    </w:p>
    <w:sectPr w:rsidR="00D4346F" w:rsidRPr="00D4346F" w:rsidSect="00841BFC">
      <w:footerReference w:type="default" r:id="rId9"/>
      <w:pgSz w:w="11906" w:h="16838"/>
      <w:pgMar w:top="8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44B68" w14:textId="77777777" w:rsidR="003D6C11" w:rsidRDefault="003D6C11" w:rsidP="003D779F">
      <w:pPr>
        <w:spacing w:after="0" w:line="240" w:lineRule="auto"/>
      </w:pPr>
      <w:r>
        <w:separator/>
      </w:r>
    </w:p>
  </w:endnote>
  <w:endnote w:type="continuationSeparator" w:id="0">
    <w:p w14:paraId="6C43284B" w14:textId="77777777" w:rsidR="003D6C11" w:rsidRDefault="003D6C11" w:rsidP="003D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175CC" w14:textId="02A1584E" w:rsidR="003D779F" w:rsidRDefault="00EB5988">
    <w:pPr>
      <w:pStyle w:val="Footer"/>
    </w:pPr>
    <w:r>
      <w:rPr>
        <w:noProof/>
        <w:color w:val="808080" w:themeColor="background1" w:themeShade="80"/>
        <w:lang w:bidi="si-LK"/>
      </w:rPr>
      <mc:AlternateContent>
        <mc:Choice Requires="wpg">
          <w:drawing>
            <wp:anchor distT="0" distB="0" distL="0" distR="0" simplePos="0" relativeHeight="251660288" behindDoc="0" locked="0" layoutInCell="1" allowOverlap="1" wp14:anchorId="02C54C4E" wp14:editId="1BCE2FAD">
              <wp:simplePos x="0" y="0"/>
              <wp:positionH relativeFrom="margin">
                <wp:posOffset>18970</wp:posOffset>
              </wp:positionH>
              <wp:positionV relativeFrom="bottomMargin">
                <wp:posOffset>185420</wp:posOffset>
              </wp:positionV>
              <wp:extent cx="5924570" cy="309245"/>
              <wp:effectExtent l="0" t="0" r="0" b="14605"/>
              <wp:wrapSquare wrapText="bothSides"/>
              <wp:docPr id="37" name="Group 37"/>
              <wp:cNvGraphicFramePr/>
              <a:graphic xmlns:a="http://schemas.openxmlformats.org/drawingml/2006/main">
                <a:graphicData uri="http://schemas.microsoft.com/office/word/2010/wordprocessingGroup">
                  <wpg:wgp>
                    <wpg:cNvGrpSpPr/>
                    <wpg:grpSpPr>
                      <a:xfrm>
                        <a:off x="0" y="0"/>
                        <a:ext cx="5924570" cy="309245"/>
                        <a:chOff x="19030" y="0"/>
                        <a:chExt cx="5943620" cy="313419"/>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19030" y="56244"/>
                          <a:ext cx="5675984"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DE680" w14:textId="6D6AC0F2" w:rsidR="00EB5988" w:rsidRPr="00EB5988" w:rsidRDefault="00EB5988">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B0F">
                              <w:rPr>
                                <w:b/>
                                <w:bCs/>
                                <w:i/>
                                <w:iCs/>
                                <w:sz w:val="16"/>
                                <w:szCs w:val="16"/>
                              </w:rPr>
                              <w:t>Recommended by the Curriculum &amp; Evaluation committee held on 05.07.2018</w:t>
                            </w:r>
                            <w:r w:rsidR="00C204EA">
                              <w:rPr>
                                <w:b/>
                                <w:bCs/>
                                <w:i/>
                                <w:iCs/>
                                <w:sz w:val="16"/>
                                <w:szCs w:val="16"/>
                              </w:rPr>
                              <w:t>, Senate Memo No. 471.05.03.05</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02C54C4E" id="Group 37" o:spid="_x0000_s1040" style="position:absolute;margin-left:1.5pt;margin-top:14.6pt;width:466.5pt;height:24.35pt;z-index:251660288;mso-wrap-distance-left:0;mso-wrap-distance-right:0;mso-position-horizontal-relative:margin;mso-position-vertical-relative:bottom-margin-area;mso-width-relative:margin;mso-height-relative:margin" coordorigin="190" coordsize="59436,3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">
              <v:rect id="Rectangle 38" o:spid="_x0000_s1041"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42" type="#_x0000_t202" style="position:absolute;left:190;top:562;width:56760;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682DE680" w14:textId="6D6AC0F2" w:rsidR="00EB5988" w:rsidRPr="00EB5988" w:rsidRDefault="00EB5988">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B0F">
                        <w:rPr>
                          <w:b/>
                          <w:bCs/>
                          <w:i/>
                          <w:iCs/>
                          <w:sz w:val="16"/>
                          <w:szCs w:val="16"/>
                        </w:rPr>
                        <w:t>Recommended by the Curriculum &amp; Evaluation committee held on 05.07.2018</w:t>
                      </w:r>
                      <w:r w:rsidR="00C204EA">
                        <w:rPr>
                          <w:b/>
                          <w:bCs/>
                          <w:i/>
                          <w:iCs/>
                          <w:sz w:val="16"/>
                          <w:szCs w:val="16"/>
                        </w:rPr>
                        <w:t>, Senate Memo No. 471.05.03.05</w:t>
                      </w:r>
                    </w:p>
                  </w:txbxContent>
                </v:textbox>
              </v:shape>
              <w10:wrap type="square" anchorx="margin" anchory="margin"/>
            </v:group>
          </w:pict>
        </mc:Fallback>
      </mc:AlternateContent>
    </w:r>
    <w:r>
      <w:rPr>
        <w:noProof/>
        <w:lang w:bidi="si-LK"/>
      </w:rPr>
      <mc:AlternateContent>
        <mc:Choice Requires="wps">
          <w:drawing>
            <wp:anchor distT="0" distB="0" distL="0" distR="0" simplePos="0" relativeHeight="251659264" behindDoc="0" locked="0" layoutInCell="1" allowOverlap="1" wp14:anchorId="1CD2AAD2" wp14:editId="58EFF6FB">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F0A972" w14:textId="4E4CAF42" w:rsidR="00EB5988" w:rsidRDefault="00EB598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416673">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2AAD2" id="Rectangle 40" o:spid="_x0000_s1043"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43F0A972" w14:textId="4E4CAF42" w:rsidR="00EB5988" w:rsidRDefault="00EB598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416673">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9E747" w14:textId="77777777" w:rsidR="003D6C11" w:rsidRDefault="003D6C11" w:rsidP="003D779F">
      <w:pPr>
        <w:spacing w:after="0" w:line="240" w:lineRule="auto"/>
      </w:pPr>
      <w:r>
        <w:separator/>
      </w:r>
    </w:p>
  </w:footnote>
  <w:footnote w:type="continuationSeparator" w:id="0">
    <w:p w14:paraId="116BE7C5" w14:textId="77777777" w:rsidR="003D6C11" w:rsidRDefault="003D6C11" w:rsidP="003D7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011"/>
    <w:multiLevelType w:val="multilevel"/>
    <w:tmpl w:val="341EAF9E"/>
    <w:lvl w:ilvl="0">
      <w:start w:val="2"/>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 w15:restartNumberingAfterBreak="0">
    <w:nsid w:val="0E3C3A52"/>
    <w:multiLevelType w:val="multilevel"/>
    <w:tmpl w:val="49A4AB84"/>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12E34BD3"/>
    <w:multiLevelType w:val="hybridMultilevel"/>
    <w:tmpl w:val="450AE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C5D4E"/>
    <w:multiLevelType w:val="multilevel"/>
    <w:tmpl w:val="74E62C20"/>
    <w:lvl w:ilvl="0">
      <w:start w:val="2"/>
      <w:numFmt w:val="decimal"/>
      <w:lvlText w:val="%1"/>
      <w:lvlJc w:val="left"/>
      <w:pPr>
        <w:ind w:left="360" w:hanging="360"/>
      </w:pPr>
      <w:rPr>
        <w:rFonts w:hint="default"/>
      </w:rPr>
    </w:lvl>
    <w:lvl w:ilvl="1">
      <w:start w:val="5"/>
      <w:numFmt w:val="decimal"/>
      <w:lvlText w:val="%1.%2"/>
      <w:lvlJc w:val="left"/>
      <w:pPr>
        <w:ind w:left="189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480" w:hanging="1440"/>
      </w:pPr>
      <w:rPr>
        <w:rFonts w:hint="default"/>
      </w:rPr>
    </w:lvl>
  </w:abstractNum>
  <w:abstractNum w:abstractNumId="4" w15:restartNumberingAfterBreak="0">
    <w:nsid w:val="19FC166A"/>
    <w:multiLevelType w:val="multilevel"/>
    <w:tmpl w:val="08CE23F4"/>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6E60FAB"/>
    <w:multiLevelType w:val="multilevel"/>
    <w:tmpl w:val="8098DAC8"/>
    <w:lvl w:ilvl="0">
      <w:start w:val="2"/>
      <w:numFmt w:val="decimal"/>
      <w:lvlText w:val="%1"/>
      <w:lvlJc w:val="left"/>
      <w:pPr>
        <w:ind w:left="360" w:hanging="360"/>
      </w:pPr>
    </w:lvl>
    <w:lvl w:ilvl="1">
      <w:start w:val="4"/>
      <w:numFmt w:val="decimal"/>
      <w:lvlText w:val="%1.%2"/>
      <w:lvlJc w:val="left"/>
      <w:pPr>
        <w:ind w:left="72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6" w15:restartNumberingAfterBreak="0">
    <w:nsid w:val="3F0B4C83"/>
    <w:multiLevelType w:val="multilevel"/>
    <w:tmpl w:val="29ECAAD2"/>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7" w15:restartNumberingAfterBreak="0">
    <w:nsid w:val="490C04ED"/>
    <w:multiLevelType w:val="multilevel"/>
    <w:tmpl w:val="58C600D4"/>
    <w:lvl w:ilvl="0">
      <w:start w:val="2"/>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5532318"/>
    <w:multiLevelType w:val="multilevel"/>
    <w:tmpl w:val="D8DA9CF2"/>
    <w:lvl w:ilvl="0">
      <w:start w:val="1"/>
      <w:numFmt w:val="decimal"/>
      <w:lvlText w:val="%1."/>
      <w:lvlJc w:val="left"/>
      <w:pPr>
        <w:ind w:left="720"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9" w15:restartNumberingAfterBreak="0">
    <w:nsid w:val="706A730F"/>
    <w:multiLevelType w:val="multilevel"/>
    <w:tmpl w:val="C80E54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7A36B91"/>
    <w:multiLevelType w:val="multilevel"/>
    <w:tmpl w:val="AD32D9A2"/>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5"/>
  </w:num>
  <w:num w:numId="3">
    <w:abstractNumId w:val="2"/>
  </w:num>
  <w:num w:numId="4">
    <w:abstractNumId w:val="8"/>
  </w:num>
  <w:num w:numId="5">
    <w:abstractNumId w:val="0"/>
  </w:num>
  <w:num w:numId="6">
    <w:abstractNumId w:val="10"/>
  </w:num>
  <w:num w:numId="7">
    <w:abstractNumId w:val="4"/>
  </w:num>
  <w:num w:numId="8">
    <w:abstractNumId w:val="7"/>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E4"/>
    <w:rsid w:val="0003071B"/>
    <w:rsid w:val="00066D23"/>
    <w:rsid w:val="000C2BF1"/>
    <w:rsid w:val="000D5D16"/>
    <w:rsid w:val="001148E9"/>
    <w:rsid w:val="00220B4C"/>
    <w:rsid w:val="002A0CE6"/>
    <w:rsid w:val="002A13E4"/>
    <w:rsid w:val="00373923"/>
    <w:rsid w:val="003934CF"/>
    <w:rsid w:val="003D6C00"/>
    <w:rsid w:val="003D6C11"/>
    <w:rsid w:val="003D779F"/>
    <w:rsid w:val="00416673"/>
    <w:rsid w:val="00437248"/>
    <w:rsid w:val="00461758"/>
    <w:rsid w:val="00470C16"/>
    <w:rsid w:val="004C29E4"/>
    <w:rsid w:val="00533A4B"/>
    <w:rsid w:val="005C14F6"/>
    <w:rsid w:val="005D22AA"/>
    <w:rsid w:val="00616350"/>
    <w:rsid w:val="00685C15"/>
    <w:rsid w:val="007751DB"/>
    <w:rsid w:val="007D66F3"/>
    <w:rsid w:val="007E17A8"/>
    <w:rsid w:val="007E3F0F"/>
    <w:rsid w:val="007F0BE4"/>
    <w:rsid w:val="007F4B0F"/>
    <w:rsid w:val="00800139"/>
    <w:rsid w:val="00841BFC"/>
    <w:rsid w:val="0089480E"/>
    <w:rsid w:val="008B1487"/>
    <w:rsid w:val="00974A91"/>
    <w:rsid w:val="009D04E2"/>
    <w:rsid w:val="00A844CF"/>
    <w:rsid w:val="00AA3A38"/>
    <w:rsid w:val="00AD2923"/>
    <w:rsid w:val="00B61EDC"/>
    <w:rsid w:val="00BB53ED"/>
    <w:rsid w:val="00BC2A79"/>
    <w:rsid w:val="00BD4314"/>
    <w:rsid w:val="00C1035D"/>
    <w:rsid w:val="00C204EA"/>
    <w:rsid w:val="00C2407B"/>
    <w:rsid w:val="00C73896"/>
    <w:rsid w:val="00C95D8F"/>
    <w:rsid w:val="00D4346F"/>
    <w:rsid w:val="00D634AD"/>
    <w:rsid w:val="00E36386"/>
    <w:rsid w:val="00E605BD"/>
    <w:rsid w:val="00EB5988"/>
    <w:rsid w:val="00F342EA"/>
    <w:rsid w:val="00F51B6E"/>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25EAD"/>
  <w15:docId w15:val="{0D6BAB87-7222-4485-9131-349F1013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CE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CE6"/>
    <w:pPr>
      <w:ind w:left="720"/>
      <w:contextualSpacing/>
    </w:pPr>
  </w:style>
  <w:style w:type="paragraph" w:styleId="BodyText">
    <w:name w:val="Body Text"/>
    <w:basedOn w:val="Normal"/>
    <w:link w:val="BodyTextChar"/>
    <w:uiPriority w:val="99"/>
    <w:semiHidden/>
    <w:unhideWhenUsed/>
    <w:rsid w:val="00D634AD"/>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rsid w:val="00D634A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10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35D"/>
    <w:rPr>
      <w:rFonts w:ascii="Tahoma" w:eastAsia="Calibri" w:hAnsi="Tahoma" w:cs="Tahoma"/>
      <w:sz w:val="16"/>
      <w:szCs w:val="16"/>
      <w:lang w:val="en-US"/>
    </w:rPr>
  </w:style>
  <w:style w:type="paragraph" w:styleId="Header">
    <w:name w:val="header"/>
    <w:basedOn w:val="Normal"/>
    <w:link w:val="HeaderChar"/>
    <w:uiPriority w:val="99"/>
    <w:unhideWhenUsed/>
    <w:rsid w:val="003D7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9F"/>
    <w:rPr>
      <w:rFonts w:ascii="Calibri" w:eastAsia="Calibri" w:hAnsi="Calibri" w:cs="Times New Roman"/>
      <w:lang w:val="en-US"/>
    </w:rPr>
  </w:style>
  <w:style w:type="paragraph" w:styleId="Footer">
    <w:name w:val="footer"/>
    <w:basedOn w:val="Normal"/>
    <w:link w:val="FooterChar"/>
    <w:uiPriority w:val="99"/>
    <w:unhideWhenUsed/>
    <w:rsid w:val="003D7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9F"/>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C877B7-B799-4356-B48D-B538580E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Shanaka</cp:lastModifiedBy>
  <cp:revision>2</cp:revision>
  <cp:lastPrinted>2018-06-07T11:01:00Z</cp:lastPrinted>
  <dcterms:created xsi:type="dcterms:W3CDTF">2020-09-24T09:02:00Z</dcterms:created>
  <dcterms:modified xsi:type="dcterms:W3CDTF">2020-09-24T09:02:00Z</dcterms:modified>
</cp:coreProperties>
</file>