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0573DF">
        <w:rPr>
          <w:rFonts w:ascii="Sylfaen" w:hAnsi="Sylfaen"/>
          <w:bCs/>
          <w:sz w:val="26"/>
          <w:szCs w:val="26"/>
          <w:u w:val="none"/>
        </w:rPr>
        <w:t>Engineering</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Pr>
          <w:rFonts w:ascii="Sylfaen" w:hAnsi="Sylfaen"/>
          <w:bCs/>
          <w:sz w:val="24"/>
          <w:szCs w:val="24"/>
          <w:u w:val="none"/>
        </w:rPr>
        <w:t>Electrical Engineering</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Department of Electrical Engineering</w:t>
      </w:r>
      <w:r w:rsidR="0057797A"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r w:rsidRPr="00224267">
        <w:rPr>
          <w:rFonts w:ascii="Sylfaen" w:hAnsi="Sylfaen"/>
          <w:sz w:val="20"/>
        </w:rPr>
        <w:t>Moratuwa</w:t>
      </w:r>
      <w:proofErr w:type="spellEnd"/>
      <w:r w:rsidRPr="00224267">
        <w:rPr>
          <w:rFonts w:ascii="Sylfaen" w:hAnsi="Sylfaen"/>
          <w:sz w:val="20"/>
        </w:rPr>
        <w:t xml:space="preserve"> </w:t>
      </w:r>
      <w:r w:rsidRPr="00224267">
        <w:rPr>
          <w:rFonts w:ascii="Sylfaen" w:hAnsi="Sylfaen"/>
          <w:b/>
          <w:sz w:val="20"/>
        </w:rPr>
        <w:t xml:space="preserve">on or </w:t>
      </w:r>
      <w:r w:rsidRPr="007A53A4">
        <w:rPr>
          <w:rFonts w:ascii="Sylfaen" w:hAnsi="Sylfaen"/>
          <w:b/>
          <w:sz w:val="20"/>
        </w:rPr>
        <w:t>before</w:t>
      </w:r>
      <w:r w:rsidR="00BB78CE">
        <w:rPr>
          <w:rFonts w:ascii="Sylfaen" w:hAnsi="Sylfaen"/>
          <w:b/>
          <w:sz w:val="20"/>
        </w:rPr>
        <w:t xml:space="preserve"> </w:t>
      </w:r>
      <w:r w:rsidR="0057797A">
        <w:rPr>
          <w:rFonts w:ascii="Sylfaen" w:hAnsi="Sylfaen"/>
          <w:b/>
          <w:sz w:val="20"/>
        </w:rPr>
        <w:t>30</w:t>
      </w:r>
      <w:r w:rsidR="00BB78CE" w:rsidRPr="00BB78CE">
        <w:rPr>
          <w:rFonts w:ascii="Sylfaen" w:hAnsi="Sylfaen"/>
          <w:b/>
          <w:sz w:val="20"/>
          <w:vertAlign w:val="superscript"/>
        </w:rPr>
        <w:t xml:space="preserve">th </w:t>
      </w:r>
      <w:r w:rsidR="0057797A">
        <w:rPr>
          <w:rFonts w:ascii="Sylfaen" w:hAnsi="Sylfaen"/>
          <w:b/>
          <w:sz w:val="20"/>
        </w:rPr>
        <w:t>November</w:t>
      </w:r>
      <w:r w:rsidR="00BB78CE" w:rsidRPr="00BB78CE">
        <w:rPr>
          <w:rFonts w:ascii="Sylfaen" w:hAnsi="Sylfaen"/>
          <w:b/>
          <w:sz w:val="20"/>
        </w:rPr>
        <w:t>, 2018</w:t>
      </w:r>
      <w:r w:rsidR="00D135A0">
        <w:rPr>
          <w:rFonts w:ascii="Sylfaen" w:hAnsi="Sylfaen"/>
          <w:b/>
          <w:bCs/>
          <w:sz w:val="20"/>
        </w:rPr>
        <w:t>.</w:t>
      </w:r>
    </w:p>
    <w:p w:rsidR="00630DA9" w:rsidRDefault="00630DA9" w:rsidP="00630DA9">
      <w:pPr>
        <w:tabs>
          <w:tab w:val="left" w:pos="2268"/>
          <w:tab w:val="left" w:pos="6237"/>
        </w:tabs>
        <w:ind w:left="2268" w:hanging="1984"/>
        <w:jc w:val="both"/>
        <w:rPr>
          <w:rFonts w:ascii="Sylfaen" w:hAnsi="Sylfaen"/>
          <w:i/>
          <w:iCs/>
        </w:rPr>
      </w:pPr>
    </w:p>
    <w:p w:rsidR="00E27D64" w:rsidRDefault="00E27D64" w:rsidP="00E27D64">
      <w:pPr>
        <w:tabs>
          <w:tab w:val="left" w:pos="810"/>
        </w:tabs>
        <w:ind w:left="810" w:right="234" w:hanging="810"/>
        <w:jc w:val="both"/>
        <w:rPr>
          <w:rFonts w:ascii="Sylfaen" w:hAnsi="Sylfaen"/>
          <w:b/>
          <w:bCs/>
        </w:rPr>
      </w:pPr>
      <w:r w:rsidRPr="00156D65">
        <w:rPr>
          <w:rFonts w:ascii="Sylfaen" w:hAnsi="Sylfaen"/>
          <w:b/>
          <w:bCs/>
        </w:rPr>
        <w:t>Area</w:t>
      </w:r>
      <w:r>
        <w:rPr>
          <w:rFonts w:ascii="Sylfaen" w:hAnsi="Sylfaen"/>
          <w:b/>
          <w:bCs/>
        </w:rPr>
        <w:t>s</w:t>
      </w:r>
      <w:r w:rsidRPr="00156D65">
        <w:rPr>
          <w:rFonts w:ascii="Sylfaen" w:hAnsi="Sylfaen"/>
          <w:b/>
          <w:bCs/>
        </w:rPr>
        <w:t xml:space="preserve"> of Expertise</w:t>
      </w:r>
      <w:r>
        <w:rPr>
          <w:rFonts w:ascii="Sylfaen" w:hAnsi="Sylfaen"/>
          <w:b/>
          <w:bCs/>
        </w:rPr>
        <w:t xml:space="preserve"> – </w:t>
      </w:r>
    </w:p>
    <w:p w:rsidR="00E27D64" w:rsidRPr="000C6D8A" w:rsidRDefault="00E27D64" w:rsidP="00E27D64">
      <w:pPr>
        <w:pStyle w:val="ListParagraph"/>
        <w:numPr>
          <w:ilvl w:val="0"/>
          <w:numId w:val="41"/>
        </w:numPr>
        <w:tabs>
          <w:tab w:val="left" w:pos="810"/>
        </w:tabs>
        <w:ind w:right="234"/>
        <w:jc w:val="both"/>
        <w:rPr>
          <w:rFonts w:ascii="Sylfaen" w:hAnsi="Sylfaen"/>
          <w:b/>
          <w:bCs/>
        </w:rPr>
      </w:pPr>
      <w:r>
        <w:rPr>
          <w:rFonts w:ascii="Sylfaen" w:hAnsi="Sylfaen"/>
          <w:bCs/>
        </w:rPr>
        <w:t>Sensors, Instrumentation and Measurement</w:t>
      </w:r>
    </w:p>
    <w:p w:rsidR="00E27D64" w:rsidRPr="003A3F7D" w:rsidRDefault="00E27D64" w:rsidP="00E27D64">
      <w:pPr>
        <w:pStyle w:val="ListParagraph"/>
        <w:numPr>
          <w:ilvl w:val="0"/>
          <w:numId w:val="41"/>
        </w:numPr>
        <w:tabs>
          <w:tab w:val="left" w:pos="810"/>
        </w:tabs>
        <w:ind w:right="234"/>
        <w:jc w:val="both"/>
        <w:rPr>
          <w:rFonts w:ascii="Sylfaen" w:hAnsi="Sylfaen"/>
          <w:b/>
          <w:bCs/>
        </w:rPr>
      </w:pPr>
      <w:r>
        <w:rPr>
          <w:rFonts w:ascii="Sylfaen" w:hAnsi="Sylfaen"/>
          <w:bCs/>
        </w:rPr>
        <w:t>Electrical Transportation Systems</w:t>
      </w:r>
    </w:p>
    <w:p w:rsidR="000573DF" w:rsidRPr="004F7ACF" w:rsidRDefault="000573DF" w:rsidP="00BB78CE">
      <w:pPr>
        <w:tabs>
          <w:tab w:val="left" w:pos="6237"/>
        </w:tabs>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3B08D4" w:rsidRDefault="00E163E2" w:rsidP="003B08D4">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bookmarkStart w:id="0" w:name="_GoBack"/>
            <w:bookmarkEnd w:id="0"/>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w:t>
      </w:r>
      <w:proofErr w:type="gramStart"/>
      <w:r w:rsidR="00E80AAD">
        <w:rPr>
          <w:rFonts w:ascii="Sylfaen" w:hAnsi="Sylfaen"/>
          <w:sz w:val="20"/>
        </w:rPr>
        <w:t xml:space="preserve">one </w:t>
      </w:r>
      <w:r w:rsidR="00892285" w:rsidRPr="00224267">
        <w:rPr>
          <w:rFonts w:ascii="Sylfaen" w:hAnsi="Sylfaen"/>
          <w:sz w:val="20"/>
        </w:rPr>
        <w:t>year</w:t>
      </w:r>
      <w:proofErr w:type="gramEnd"/>
      <w:r w:rsidR="00892285" w:rsidRPr="00224267">
        <w:rPr>
          <w:rFonts w:ascii="Sylfaen" w:hAnsi="Sylfaen"/>
          <w:sz w:val="20"/>
        </w:rPr>
        <w:t xml:space="preserve">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w:t>
            </w:r>
            <w:proofErr w:type="gramStart"/>
            <w:r w:rsidRPr="00224267">
              <w:rPr>
                <w:rFonts w:ascii="Sylfaen" w:hAnsi="Sylfaen"/>
                <w:sz w:val="20"/>
                <w:szCs w:val="20"/>
              </w:rPr>
              <w:t>months</w:t>
            </w:r>
            <w:proofErr w:type="gramEnd"/>
            <w:r w:rsidRPr="00224267">
              <w:rPr>
                <w:rFonts w:ascii="Sylfaen" w:hAnsi="Sylfaen"/>
                <w:sz w:val="20"/>
                <w:szCs w:val="20"/>
              </w:rPr>
              <w:t xml:space="preserve">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 xml:space="preserve">years </w:t>
            </w:r>
            <w:proofErr w:type="gramStart"/>
            <w:r w:rsidRPr="00224267">
              <w:rPr>
                <w:rFonts w:ascii="Sylfaen" w:hAnsi="Sylfaen"/>
                <w:sz w:val="20"/>
                <w:szCs w:val="20"/>
              </w:rPr>
              <w:t>experience</w:t>
            </w:r>
            <w:proofErr w:type="spellEnd"/>
            <w:r w:rsidRPr="00224267">
              <w:rPr>
                <w:rFonts w:ascii="Sylfaen" w:hAnsi="Sylfaen"/>
                <w:sz w:val="20"/>
                <w:szCs w:val="20"/>
              </w:rPr>
              <w:t xml:space="preserve">  in</w:t>
            </w:r>
            <w:proofErr w:type="gramEnd"/>
            <w:r w:rsidRPr="00224267">
              <w:rPr>
                <w:rFonts w:ascii="Sylfaen" w:hAnsi="Sylfaen"/>
                <w:sz w:val="20"/>
                <w:szCs w:val="20"/>
              </w:rPr>
              <w:t xml:space="preserve">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w:t>
      </w:r>
      <w:proofErr w:type="gramStart"/>
      <w:r w:rsidR="00892285" w:rsidRPr="00224267">
        <w:rPr>
          <w:rFonts w:ascii="Sylfaen" w:hAnsi="Sylfaen"/>
          <w:sz w:val="20"/>
        </w:rPr>
        <w:t>one year</w:t>
      </w:r>
      <w:proofErr w:type="gramEnd"/>
      <w:r w:rsidR="00892285" w:rsidRPr="00224267">
        <w:rPr>
          <w:rFonts w:ascii="Sylfaen" w:hAnsi="Sylfaen"/>
          <w:sz w:val="20"/>
        </w:rPr>
        <w:t xml:space="preserve">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w:t>
      </w:r>
      <w:r w:rsidR="00EE70B6">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w:t>
      </w:r>
      <w:r w:rsidR="00EE70B6">
        <w:rPr>
          <w:rFonts w:ascii="Sylfaen" w:hAnsi="Sylfaen"/>
          <w:sz w:val="20"/>
        </w:rPr>
        <w:t xml:space="preserve">in the relevant field with full time research of at least 24 </w:t>
      </w:r>
      <w:proofErr w:type="gramStart"/>
      <w:r w:rsidR="00EE70B6">
        <w:rPr>
          <w:rFonts w:ascii="Sylfaen" w:hAnsi="Sylfaen"/>
          <w:sz w:val="20"/>
        </w:rPr>
        <w:t>months</w:t>
      </w:r>
      <w:proofErr w:type="gramEnd"/>
      <w:r w:rsidR="00EE70B6">
        <w:rPr>
          <w:rFonts w:ascii="Sylfaen" w:hAnsi="Sylfaen"/>
          <w:sz w:val="20"/>
        </w:rPr>
        <w:t xml:space="preserve">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 xml:space="preserve">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71,965/-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 xml:space="preserve">79,360 - 11 x 1,630 - 97,290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62,965/-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 xml:space="preserve">. 54,600 - 10 x 1,335 - 67,950 p.m. [U-AC 3 (IV)]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43,506/-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proofErr w:type="gramStart"/>
      <w:r w:rsidRPr="00224267">
        <w:rPr>
          <w:rFonts w:ascii="Sylfaen" w:hAnsi="Sylfaen"/>
          <w:sz w:val="20"/>
        </w:rPr>
        <w:t>provident</w:t>
      </w:r>
      <w:proofErr w:type="gramEnd"/>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BB78CE" w:rsidRDefault="00536742"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31</w:t>
      </w:r>
      <w:r w:rsidR="00C502A3">
        <w:rPr>
          <w:rFonts w:ascii="Sylfaen" w:hAnsi="Sylfaen"/>
          <w:sz w:val="20"/>
        </w:rPr>
        <w:t>.10.2018</w:t>
      </w:r>
    </w:p>
    <w:sectPr w:rsidR="00BB78CE"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15" w:rsidRDefault="00472315">
      <w:r>
        <w:separator/>
      </w:r>
    </w:p>
  </w:endnote>
  <w:endnote w:type="continuationSeparator" w:id="0">
    <w:p w:rsidR="00472315" w:rsidRDefault="0047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3B08D4">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3B08D4">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15" w:rsidRDefault="00472315">
      <w:r>
        <w:separator/>
      </w:r>
    </w:p>
  </w:footnote>
  <w:footnote w:type="continuationSeparator" w:id="0">
    <w:p w:rsidR="00472315" w:rsidRDefault="004723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15:restartNumberingAfterBreak="0">
    <w:nsid w:val="3F4871FA"/>
    <w:multiLevelType w:val="multilevel"/>
    <w:tmpl w:val="47005DD0"/>
    <w:numStyleLink w:val="Style1"/>
  </w:abstractNum>
  <w:abstractNum w:abstractNumId="14"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2"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3"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4"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9"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0"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4"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5"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6"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8"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0"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3"/>
  </w:num>
  <w:num w:numId="2">
    <w:abstractNumId w:val="12"/>
  </w:num>
  <w:num w:numId="3">
    <w:abstractNumId w:val="34"/>
  </w:num>
  <w:num w:numId="4">
    <w:abstractNumId w:val="6"/>
  </w:num>
  <w:num w:numId="5">
    <w:abstractNumId w:val="18"/>
  </w:num>
  <w:num w:numId="6">
    <w:abstractNumId w:val="37"/>
  </w:num>
  <w:num w:numId="7">
    <w:abstractNumId w:val="33"/>
  </w:num>
  <w:num w:numId="8">
    <w:abstractNumId w:val="20"/>
  </w:num>
  <w:num w:numId="9">
    <w:abstractNumId w:val="21"/>
  </w:num>
  <w:num w:numId="10">
    <w:abstractNumId w:val="35"/>
  </w:num>
  <w:num w:numId="11">
    <w:abstractNumId w:val="16"/>
  </w:num>
  <w:num w:numId="12">
    <w:abstractNumId w:val="29"/>
  </w:num>
  <w:num w:numId="13">
    <w:abstractNumId w:val="39"/>
  </w:num>
  <w:num w:numId="14">
    <w:abstractNumId w:val="25"/>
  </w:num>
  <w:num w:numId="15">
    <w:abstractNumId w:val="3"/>
  </w:num>
  <w:num w:numId="16">
    <w:abstractNumId w:val="19"/>
  </w:num>
  <w:num w:numId="17">
    <w:abstractNumId w:val="0"/>
  </w:num>
  <w:num w:numId="18">
    <w:abstractNumId w:val="40"/>
  </w:num>
  <w:num w:numId="19">
    <w:abstractNumId w:val="27"/>
  </w:num>
  <w:num w:numId="20">
    <w:abstractNumId w:val="9"/>
  </w:num>
  <w:num w:numId="21">
    <w:abstractNumId w:val="14"/>
  </w:num>
  <w:num w:numId="22">
    <w:abstractNumId w:val="28"/>
  </w:num>
  <w:num w:numId="23">
    <w:abstractNumId w:val="7"/>
  </w:num>
  <w:num w:numId="24">
    <w:abstractNumId w:val="24"/>
  </w:num>
  <w:num w:numId="25">
    <w:abstractNumId w:val="17"/>
  </w:num>
  <w:num w:numId="26">
    <w:abstractNumId w:val="1"/>
  </w:num>
  <w:num w:numId="27">
    <w:abstractNumId w:val="36"/>
  </w:num>
  <w:num w:numId="28">
    <w:abstractNumId w:val="2"/>
  </w:num>
  <w:num w:numId="29">
    <w:abstractNumId w:val="13"/>
  </w:num>
  <w:num w:numId="30">
    <w:abstractNumId w:val="22"/>
  </w:num>
  <w:num w:numId="31">
    <w:abstractNumId w:val="32"/>
  </w:num>
  <w:num w:numId="32">
    <w:abstractNumId w:val="8"/>
  </w:num>
  <w:num w:numId="33">
    <w:abstractNumId w:val="30"/>
  </w:num>
  <w:num w:numId="34">
    <w:abstractNumId w:val="26"/>
  </w:num>
  <w:num w:numId="35">
    <w:abstractNumId w:val="10"/>
  </w:num>
  <w:num w:numId="36">
    <w:abstractNumId w:val="15"/>
  </w:num>
  <w:num w:numId="37">
    <w:abstractNumId w:val="11"/>
  </w:num>
  <w:num w:numId="38">
    <w:abstractNumId w:val="38"/>
  </w:num>
  <w:num w:numId="39">
    <w:abstractNumId w:val="31"/>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08D4"/>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2315"/>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33EB9"/>
    <w:rsid w:val="0053439F"/>
    <w:rsid w:val="00535F3F"/>
    <w:rsid w:val="00536742"/>
    <w:rsid w:val="005456F8"/>
    <w:rsid w:val="005556C8"/>
    <w:rsid w:val="00556187"/>
    <w:rsid w:val="0055669A"/>
    <w:rsid w:val="005620A1"/>
    <w:rsid w:val="005629E6"/>
    <w:rsid w:val="005630B7"/>
    <w:rsid w:val="005648F7"/>
    <w:rsid w:val="00565044"/>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4B9B9"/>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E2A5-B4BE-444F-BFCD-ED2A9B18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KasunJ</cp:lastModifiedBy>
  <cp:revision>15</cp:revision>
  <cp:lastPrinted>2018-08-02T19:43:00Z</cp:lastPrinted>
  <dcterms:created xsi:type="dcterms:W3CDTF">2018-08-01T17:38:00Z</dcterms:created>
  <dcterms:modified xsi:type="dcterms:W3CDTF">2018-11-01T10:38:00Z</dcterms:modified>
</cp:coreProperties>
</file>